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513" w:rsidRPr="00E9519B" w:rsidRDefault="00201513" w:rsidP="00201513">
      <w:pPr>
        <w:pStyle w:val="af1"/>
        <w:ind w:left="6379"/>
        <w:jc w:val="both"/>
        <w:rPr>
          <w:rFonts w:ascii="Times New Roman" w:hAnsi="Times New Roman" w:cs="Times New Roman"/>
          <w:sz w:val="28"/>
          <w:szCs w:val="28"/>
        </w:rPr>
      </w:pPr>
      <w:bookmarkStart w:id="0" w:name="_GoBack"/>
      <w:bookmarkEnd w:id="0"/>
      <w:r w:rsidRPr="00E9519B">
        <w:rPr>
          <w:rFonts w:ascii="Times New Roman" w:hAnsi="Times New Roman" w:cs="Times New Roman"/>
          <w:sz w:val="28"/>
          <w:szCs w:val="28"/>
        </w:rPr>
        <w:t>Бұйрықтың 1-қосымшасы</w:t>
      </w:r>
    </w:p>
    <w:p w:rsidR="00201513" w:rsidRPr="00E9519B" w:rsidRDefault="00201513" w:rsidP="00201513">
      <w:pPr>
        <w:pStyle w:val="af1"/>
        <w:ind w:left="6379"/>
        <w:jc w:val="center"/>
        <w:rPr>
          <w:rFonts w:ascii="Times New Roman" w:hAnsi="Times New Roman" w:cs="Times New Roman"/>
          <w:sz w:val="28"/>
          <w:szCs w:val="28"/>
        </w:rPr>
      </w:pPr>
    </w:p>
    <w:p w:rsidR="00201513" w:rsidRPr="00E9519B" w:rsidRDefault="00201513" w:rsidP="00201513">
      <w:pPr>
        <w:pStyle w:val="af1"/>
        <w:ind w:left="6379"/>
        <w:jc w:val="center"/>
        <w:rPr>
          <w:rFonts w:ascii="Times New Roman" w:hAnsi="Times New Roman" w:cs="Times New Roman"/>
          <w:sz w:val="28"/>
          <w:szCs w:val="28"/>
        </w:rPr>
      </w:pPr>
      <w:r w:rsidRPr="00E9519B">
        <w:rPr>
          <w:rFonts w:ascii="Times New Roman" w:hAnsi="Times New Roman" w:cs="Times New Roman"/>
          <w:sz w:val="28"/>
          <w:szCs w:val="28"/>
        </w:rPr>
        <w:t>пішін,</w:t>
      </w:r>
    </w:p>
    <w:p w:rsidR="00201513" w:rsidRPr="00E9519B" w:rsidRDefault="00201513" w:rsidP="00201513">
      <w:pPr>
        <w:pStyle w:val="af1"/>
        <w:ind w:left="6379"/>
        <w:rPr>
          <w:rFonts w:ascii="Times New Roman" w:hAnsi="Times New Roman" w:cs="Times New Roman"/>
          <w:sz w:val="28"/>
          <w:szCs w:val="28"/>
        </w:rPr>
      </w:pPr>
      <w:r w:rsidRPr="00E9519B">
        <w:rPr>
          <w:rFonts w:ascii="Times New Roman" w:hAnsi="Times New Roman" w:cs="Times New Roman"/>
          <w:sz w:val="28"/>
          <w:szCs w:val="28"/>
        </w:rPr>
        <w:t>жинауға арналған</w:t>
      </w:r>
    </w:p>
    <w:p w:rsidR="00201513" w:rsidRPr="00E9519B" w:rsidRDefault="00201513" w:rsidP="00201513">
      <w:pPr>
        <w:pStyle w:val="af1"/>
        <w:ind w:left="6379"/>
        <w:jc w:val="both"/>
        <w:rPr>
          <w:rFonts w:ascii="Times New Roman" w:hAnsi="Times New Roman" w:cs="Times New Roman"/>
          <w:sz w:val="28"/>
          <w:szCs w:val="28"/>
        </w:rPr>
      </w:pPr>
      <w:r w:rsidRPr="00E9519B">
        <w:rPr>
          <w:rFonts w:ascii="Times New Roman" w:hAnsi="Times New Roman" w:cs="Times New Roman"/>
          <w:sz w:val="28"/>
          <w:szCs w:val="28"/>
        </w:rPr>
        <w:t>әкімшілік деректер</w:t>
      </w:r>
    </w:p>
    <w:p w:rsidR="00201513" w:rsidRPr="00E9519B" w:rsidRDefault="00201513" w:rsidP="00201513">
      <w:pPr>
        <w:pStyle w:val="af1"/>
        <w:ind w:left="6379"/>
        <w:jc w:val="both"/>
        <w:rPr>
          <w:rFonts w:ascii="Times New Roman" w:hAnsi="Times New Roman" w:cs="Times New Roman"/>
          <w:sz w:val="28"/>
          <w:szCs w:val="28"/>
        </w:rPr>
      </w:pPr>
    </w:p>
    <w:p w:rsidR="00201513" w:rsidRPr="00E9519B" w:rsidRDefault="00201513" w:rsidP="00201513">
      <w:pPr>
        <w:pStyle w:val="af1"/>
        <w:jc w:val="both"/>
        <w:rPr>
          <w:rFonts w:ascii="Times New Roman" w:hAnsi="Times New Roman" w:cs="Times New Roman"/>
          <w:color w:val="000000"/>
          <w:sz w:val="28"/>
          <w:szCs w:val="28"/>
        </w:rPr>
      </w:pPr>
    </w:p>
    <w:p w:rsidR="00201513" w:rsidRPr="00E755C3" w:rsidRDefault="00B44462" w:rsidP="00201513">
      <w:pPr>
        <w:pStyle w:val="af1"/>
        <w:jc w:val="center"/>
        <w:rPr>
          <w:rFonts w:ascii="Times New Roman" w:hAnsi="Times New Roman" w:cs="Times New Roman"/>
          <w:b/>
          <w:color w:val="000000"/>
          <w:sz w:val="28"/>
          <w:szCs w:val="28"/>
          <w:lang w:val="kk-KZ"/>
        </w:rPr>
      </w:pPr>
      <w:r>
        <w:rPr>
          <w:rFonts w:ascii="Times New Roman" w:hAnsi="Times New Roman" w:cs="Times New Roman"/>
          <w:b/>
          <w:color w:val="000000"/>
          <w:sz w:val="28"/>
          <w:szCs w:val="28"/>
          <w:lang w:val="kk-KZ"/>
        </w:rPr>
        <w:t>Екінші деңгейдегі банктердің, Қазақстан Республикасының резидент емес банктерінің филиалдарының және банк операцияларының жекелеген түрлерін жүзеге асыратын ұйымдардың, кастодиандардың, оның ішінде инвестициялық портфельді басқарушылардың, орталық депозитарийдің, бағалы қағаздардың номиналды ұстаушылары ретінде клиенттердің шоттарын жүргізуге құқығы бар брокерлердің және (немесе) дилерлерінің, сақтандыру (өмірді сақтандыру секторында) ұйымдардың, сақтандыру (сақтандыру) ұйымдарының, сақтандыру ұйымдарының) мемлекеттік кірістер органдарына мәліметтері. Қазақстан Республикасының (қайта сақтандыру) ұйымдары және сақтандыру брокерлері (026.00-нысан)</w:t>
      </w:r>
    </w:p>
    <w:p w:rsidR="009F41CA" w:rsidRPr="00E755C3" w:rsidRDefault="009F41CA" w:rsidP="00201513">
      <w:pPr>
        <w:pStyle w:val="af1"/>
        <w:jc w:val="center"/>
        <w:rPr>
          <w:rFonts w:ascii="Times New Roman" w:hAnsi="Times New Roman" w:cs="Times New Roman"/>
          <w:b/>
          <w:bCs/>
          <w:sz w:val="28"/>
          <w:szCs w:val="28"/>
          <w:lang w:val="kk-KZ"/>
        </w:rPr>
      </w:pPr>
    </w:p>
    <w:p w:rsidR="00201513" w:rsidRPr="00E755C3" w:rsidRDefault="00201513" w:rsidP="00BF04CD">
      <w:pPr>
        <w:pStyle w:val="af1"/>
        <w:ind w:firstLine="708"/>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Берілді: Қазақстан Республикасы Қаржы министрлігінің Мемлекеттік кірістер комитетіне.</w:t>
      </w:r>
    </w:p>
    <w:p w:rsidR="00201513" w:rsidRPr="00E755C3" w:rsidRDefault="00201513">
      <w:pPr>
        <w:pStyle w:val="af1"/>
        <w:ind w:firstLine="708"/>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Әкімшілік деректерді тегін жинауға арналған нысан kgd.gov.kz интернет-ресурсында орналасқан.</w:t>
      </w:r>
    </w:p>
    <w:p w:rsidR="00201513" w:rsidRPr="00E755C3" w:rsidRDefault="00201513" w:rsidP="00276650">
      <w:pPr>
        <w:pStyle w:val="af1"/>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 xml:space="preserve">Әкімшілік нысанның атауы: </w:t>
      </w:r>
      <w:r w:rsidR="00E755C3" w:rsidRPr="00E755C3">
        <w:rPr>
          <w:rFonts w:ascii="Times New Roman" w:hAnsi="Times New Roman" w:cs="Times New Roman"/>
          <w:color w:val="000000"/>
          <w:sz w:val="28"/>
          <w:szCs w:val="28"/>
          <w:lang w:val="kk-KZ"/>
        </w:rPr>
        <w:t>Екінші деңгейдегі банктердің, Қазақстан Республикасының резидент емес банктерінің филиалдарының және банк операцияларының жекелеген түрлерін жүзеге асыратын ұйымдардың, кастодиандардың, оның ішінде инвестициялық портфельді басқарушылардың, орталық депозитарийдің, бағалы қағаздардың номиналды ұстаушылары ретінде клиенттердің шоттарын жүргізуге құқығы бар брокерлердің және (немесе) дилерлерінің, сақтандыру (өмірді сақтандыру секторында) ұйымдардың, сақтандыру (сақтандыру) ұйымдарының, сақтандыру ұйымдарының) мемлекеттік кірістер органдарына мәліметтері. Қазақстан Республикасының (қайта сақтандыру) ұйымдары және сақтандыру брокерлері</w:t>
      </w:r>
      <w:r w:rsidR="00E755C3">
        <w:rPr>
          <w:rFonts w:ascii="Times New Roman" w:hAnsi="Times New Roman" w:cs="Times New Roman"/>
          <w:b/>
          <w:color w:val="000000"/>
          <w:sz w:val="28"/>
          <w:szCs w:val="28"/>
          <w:lang w:val="kk-KZ"/>
        </w:rPr>
        <w:t xml:space="preserve"> </w:t>
      </w:r>
      <w:r w:rsidR="00E755C3">
        <w:rPr>
          <w:rFonts w:ascii="Times New Roman" w:hAnsi="Times New Roman" w:cs="Times New Roman"/>
          <w:sz w:val="28"/>
          <w:szCs w:val="28"/>
          <w:lang w:val="kk-KZ"/>
        </w:rPr>
        <w:t>ұсын</w:t>
      </w:r>
      <w:r w:rsidRPr="00E755C3">
        <w:rPr>
          <w:rFonts w:ascii="Times New Roman" w:hAnsi="Times New Roman" w:cs="Times New Roman"/>
          <w:sz w:val="28"/>
          <w:szCs w:val="28"/>
          <w:lang w:val="kk-KZ"/>
        </w:rPr>
        <w:t>ған мәліметтер.</w:t>
      </w:r>
    </w:p>
    <w:p w:rsidR="00201513" w:rsidRPr="00E755C3" w:rsidRDefault="00201513" w:rsidP="00201513">
      <w:pPr>
        <w:pStyle w:val="af1"/>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ab/>
        <w:t>Әкімшілік деректерді жинауға арналған нысанның индексі</w:t>
      </w:r>
      <w:r w:rsidRPr="00E755C3">
        <w:rPr>
          <w:rFonts w:ascii="Times New Roman" w:hAnsi="Times New Roman" w:cs="Times New Roman"/>
          <w:sz w:val="28"/>
          <w:szCs w:val="28"/>
          <w:lang w:val="kk-KZ"/>
        </w:rPr>
        <w:br/>
        <w:t>тегін (форма атауының қысқа әріптік-цифрлық өрнегі): SPUO1</w:t>
      </w:r>
    </w:p>
    <w:p w:rsidR="00201513" w:rsidRPr="00E755C3" w:rsidRDefault="00201513" w:rsidP="00201513">
      <w:pPr>
        <w:pStyle w:val="af1"/>
        <w:ind w:firstLine="708"/>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Жиілігі: жылына бір рет.</w:t>
      </w:r>
    </w:p>
    <w:p w:rsidR="00201513" w:rsidRPr="00E755C3" w:rsidRDefault="00201513" w:rsidP="00201513">
      <w:pPr>
        <w:pStyle w:val="af1"/>
        <w:ind w:firstLine="708"/>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Есепті кезең: жыл сайын есепті жылдан кейінгі жылдың 30 маусымынан кешіктірмей.</w:t>
      </w:r>
    </w:p>
    <w:p w:rsidR="00201513" w:rsidRPr="00E755C3" w:rsidRDefault="00201513" w:rsidP="00201513">
      <w:pPr>
        <w:pStyle w:val="af1"/>
        <w:ind w:firstLine="708"/>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Әкімшілік деректерді өтеусіз жинауға арналған нысанды ұсынатын тұлғалардың шеңбері: екінші деңгейдегі банктер, Қазақстан Республикасының резидент емес банктерінің филиалдары және банк операцияларының жекелеген түрлерін жүзеге асыратын ұйымдар, кастодиандар, оның ішінде инвестициялық портфельді басқарушылар, орталық депозитарийлер, брокерлер және (немесе) бағалы қағаздардың номиналды шоттарын ұстауға құқығы бар дилерлер.</w:t>
      </w:r>
      <w:r w:rsidR="00E9519B" w:rsidRPr="00E755C3">
        <w:rPr>
          <w:rFonts w:ascii="Times New Roman" w:hAnsi="Times New Roman" w:cs="Times New Roman"/>
          <w:color w:val="000000"/>
          <w:sz w:val="28"/>
          <w:lang w:val="kk-KZ"/>
        </w:rPr>
        <w:t>өмірді сақтандыру саласында жұмыс істейтін сақтандыру ұйымдары,</w:t>
      </w:r>
      <w:r w:rsidR="00E9519B" w:rsidRPr="00E755C3">
        <w:rPr>
          <w:rFonts w:ascii="Times New Roman" w:hAnsi="Times New Roman" w:cs="Times New Roman"/>
          <w:sz w:val="28"/>
          <w:szCs w:val="28"/>
          <w:lang w:val="kk-KZ"/>
        </w:rPr>
        <w:t xml:space="preserve">сақтандыру (қайта </w:t>
      </w:r>
      <w:r w:rsidR="00E9519B" w:rsidRPr="00E755C3">
        <w:rPr>
          <w:rFonts w:ascii="Times New Roman" w:hAnsi="Times New Roman" w:cs="Times New Roman"/>
          <w:sz w:val="28"/>
          <w:szCs w:val="28"/>
          <w:lang w:val="kk-KZ"/>
        </w:rPr>
        <w:lastRenderedPageBreak/>
        <w:t>сақтандыру) ұйымдары, сақтандыру (қайта сақтандыру) ұйымдарының Қазақстан Республикасының резиденті емес филиалдары және</w:t>
      </w:r>
      <w:r w:rsidR="00E9519B" w:rsidRPr="00E755C3">
        <w:rPr>
          <w:rFonts w:ascii="Times New Roman" w:hAnsi="Times New Roman" w:cs="Times New Roman"/>
          <w:color w:val="000000"/>
          <w:sz w:val="28"/>
          <w:lang w:val="kk-KZ"/>
        </w:rPr>
        <w:t>сақтандыру брокерлері</w:t>
      </w:r>
      <w:r w:rsidR="00E9519B" w:rsidRPr="00E755C3">
        <w:rPr>
          <w:rFonts w:ascii="Times New Roman" w:hAnsi="Times New Roman" w:cs="Times New Roman"/>
          <w:sz w:val="28"/>
          <w:szCs w:val="28"/>
          <w:lang w:val="kk-KZ"/>
        </w:rPr>
        <w:t xml:space="preserve"> </w:t>
      </w:r>
      <w:r w:rsidR="00E9519B" w:rsidRPr="00E755C3">
        <w:rPr>
          <w:rFonts w:ascii="Times New Roman" w:hAnsi="Times New Roman" w:cs="Times New Roman"/>
          <w:sz w:val="28"/>
          <w:szCs w:val="28"/>
          <w:lang w:val="kk-KZ"/>
        </w:rPr>
        <w:br/>
        <w:t>(бұдан әрі – есеп беретін қаржы институты)</w:t>
      </w:r>
      <w:r w:rsidRPr="00E755C3">
        <w:rPr>
          <w:rFonts w:ascii="Times New Roman" w:eastAsia="Times New Roman" w:hAnsi="Times New Roman" w:cs="Times New Roman"/>
          <w:sz w:val="28"/>
          <w:szCs w:val="28"/>
          <w:lang w:val="kk-KZ" w:eastAsia="ru-RU"/>
        </w:rPr>
        <w:t>.</w:t>
      </w:r>
    </w:p>
    <w:p w:rsidR="00201513" w:rsidRPr="00E755C3" w:rsidRDefault="00201513" w:rsidP="00201513">
      <w:pPr>
        <w:pStyle w:val="af1"/>
        <w:ind w:firstLine="708"/>
        <w:jc w:val="both"/>
        <w:rPr>
          <w:rFonts w:ascii="Times New Roman" w:hAnsi="Times New Roman" w:cs="Times New Roman"/>
          <w:sz w:val="28"/>
          <w:szCs w:val="28"/>
          <w:lang w:val="kk-KZ"/>
        </w:rPr>
      </w:pPr>
      <w:r w:rsidRPr="00E755C3">
        <w:rPr>
          <w:rFonts w:ascii="Times New Roman" w:hAnsi="Times New Roman" w:cs="Times New Roman"/>
          <w:sz w:val="28"/>
          <w:szCs w:val="28"/>
          <w:lang w:val="kk-KZ"/>
        </w:rPr>
        <w:t>Әкімшілік деректерді жинауға арналған нысанды өтеусіз тапсыру мерзімі есепті жылдан кейінгі жылдың 30 маусымынан кешіктірмей.</w:t>
      </w:r>
    </w:p>
    <w:tbl>
      <w:tblPr>
        <w:tblW w:w="9356" w:type="dxa"/>
        <w:tblCellSpacing w:w="15" w:type="dxa"/>
        <w:tblLook w:val="04A0" w:firstRow="1" w:lastRow="0" w:firstColumn="1" w:lastColumn="0" w:noHBand="0" w:noVBand="1"/>
      </w:tblPr>
      <w:tblGrid>
        <w:gridCol w:w="1752"/>
        <w:gridCol w:w="7604"/>
      </w:tblGrid>
      <w:tr w:rsidR="00201513" w:rsidRPr="00E9519B" w:rsidTr="00E9519B">
        <w:trPr>
          <w:tblCellSpacing w:w="15" w:type="dxa"/>
        </w:trPr>
        <w:tc>
          <w:tcPr>
            <w:tcW w:w="1504" w:type="dxa"/>
            <w:tcMar>
              <w:top w:w="15" w:type="dxa"/>
              <w:left w:w="15" w:type="dxa"/>
              <w:bottom w:w="15" w:type="dxa"/>
              <w:right w:w="15" w:type="dxa"/>
            </w:tcMar>
            <w:vAlign w:val="center"/>
            <w:hideMark/>
          </w:tcPr>
          <w:p w:rsidR="00201513" w:rsidRPr="00E755C3" w:rsidRDefault="00B44462" w:rsidP="00E9519B">
            <w:pPr>
              <w:pStyle w:val="af1"/>
              <w:jc w:val="both"/>
              <w:rPr>
                <w:rFonts w:ascii="Times New Roman" w:hAnsi="Times New Roman" w:cs="Times New Roman"/>
                <w:sz w:val="28"/>
                <w:szCs w:val="28"/>
                <w:lang w:val="kk-KZ"/>
              </w:rPr>
            </w:pPr>
            <w:bookmarkStart w:id="1" w:name="z271"/>
            <w:bookmarkStart w:id="2" w:name="z272"/>
            <w:bookmarkEnd w:id="1"/>
            <w:bookmarkEnd w:id="2"/>
            <w:r w:rsidRPr="00E755C3">
              <w:rPr>
                <w:rFonts w:ascii="Times New Roman" w:hAnsi="Times New Roman" w:cs="Times New Roman"/>
                <w:sz w:val="28"/>
                <w:szCs w:val="28"/>
                <w:lang w:val="kk-KZ"/>
              </w:rPr>
              <w:t>Жеке сәйкестендіру нөмірі/Бизнес сәйкестендіру нөмірі (ЖСН/БСН)</w:t>
            </w:r>
          </w:p>
        </w:tc>
        <w:tc>
          <w:tcPr>
            <w:tcW w:w="7762" w:type="dxa"/>
            <w:tcMar>
              <w:top w:w="15" w:type="dxa"/>
              <w:left w:w="15" w:type="dxa"/>
              <w:bottom w:w="15" w:type="dxa"/>
              <w:right w:w="15" w:type="dxa"/>
            </w:tcMar>
            <w:vAlign w:val="center"/>
          </w:tcPr>
          <w:p w:rsidR="00201513" w:rsidRPr="00E755C3" w:rsidRDefault="00201513" w:rsidP="00E9519B">
            <w:pPr>
              <w:pStyle w:val="af1"/>
              <w:jc w:val="both"/>
              <w:rPr>
                <w:rFonts w:ascii="Times New Roman" w:hAnsi="Times New Roman" w:cs="Times New Roman"/>
                <w:sz w:val="28"/>
                <w:szCs w:val="28"/>
                <w:lang w:val="kk-KZ"/>
              </w:rPr>
            </w:pPr>
          </w:p>
          <w:p w:rsidR="00201513" w:rsidRPr="00546132" w:rsidRDefault="00201513" w:rsidP="00E9519B">
            <w:pPr>
              <w:pStyle w:val="af1"/>
              <w:jc w:val="both"/>
              <w:rPr>
                <w:rFonts w:ascii="Times New Roman" w:hAnsi="Times New Roman" w:cs="Times New Roman"/>
                <w:sz w:val="28"/>
                <w:szCs w:val="28"/>
              </w:rPr>
            </w:pPr>
            <w:r w:rsidRPr="003C2F6C">
              <w:rPr>
                <w:rFonts w:ascii="Times New Roman" w:hAnsi="Times New Roman" w:cs="Times New Roman"/>
                <w:noProof/>
                <w:sz w:val="28"/>
                <w:szCs w:val="28"/>
                <w:lang w:eastAsia="ru-RU"/>
              </w:rPr>
              <w:drawing>
                <wp:inline distT="0" distB="0" distL="0" distR="0" wp14:anchorId="1A949625" wp14:editId="5150CB9A">
                  <wp:extent cx="4010025" cy="323850"/>
                  <wp:effectExtent l="0" t="0" r="9525" b="0"/>
                  <wp:docPr id="10" name="Рисунок 10"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rsidR="00201513" w:rsidRPr="00E755C3" w:rsidRDefault="00201513" w:rsidP="00201513">
      <w:pPr>
        <w:pStyle w:val="af1"/>
        <w:jc w:val="center"/>
        <w:rPr>
          <w:rFonts w:ascii="Times New Roman" w:hAnsi="Times New Roman" w:cs="Times New Roman"/>
          <w:sz w:val="28"/>
          <w:szCs w:val="28"/>
          <w:lang w:val="en-US"/>
        </w:rPr>
      </w:pPr>
      <w:r w:rsidRPr="00E755C3">
        <w:rPr>
          <w:rFonts w:ascii="Times New Roman" w:hAnsi="Times New Roman" w:cs="Times New Roman"/>
          <w:sz w:val="28"/>
          <w:szCs w:val="28"/>
          <w:lang w:val="en-US"/>
        </w:rPr>
        <w:t>(</w:t>
      </w:r>
      <w:proofErr w:type="gramStart"/>
      <w:r w:rsidRPr="00E9519B">
        <w:rPr>
          <w:rFonts w:ascii="Times New Roman" w:hAnsi="Times New Roman" w:cs="Times New Roman"/>
          <w:sz w:val="28"/>
          <w:szCs w:val="28"/>
        </w:rPr>
        <w:t>деректерді</w:t>
      </w:r>
      <w:proofErr w:type="gramEnd"/>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жеке</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тұлғалар</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ұсынған</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жағдайда</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толтырылмайды</w:t>
      </w:r>
      <w:r w:rsidRPr="00E755C3">
        <w:rPr>
          <w:rFonts w:ascii="Times New Roman" w:hAnsi="Times New Roman" w:cs="Times New Roman"/>
          <w:sz w:val="28"/>
          <w:szCs w:val="28"/>
          <w:lang w:val="en-US"/>
        </w:rPr>
        <w:t>,</w:t>
      </w:r>
    </w:p>
    <w:p w:rsidR="00201513" w:rsidRPr="00E755C3" w:rsidRDefault="00201513" w:rsidP="00201513">
      <w:pPr>
        <w:pStyle w:val="af1"/>
        <w:jc w:val="center"/>
        <w:rPr>
          <w:rFonts w:ascii="Times New Roman" w:hAnsi="Times New Roman" w:cs="Times New Roman"/>
          <w:sz w:val="28"/>
          <w:szCs w:val="28"/>
          <w:lang w:val="en-US"/>
        </w:rPr>
      </w:pPr>
      <w:r w:rsidRPr="00E9519B">
        <w:rPr>
          <w:rFonts w:ascii="Times New Roman" w:hAnsi="Times New Roman" w:cs="Times New Roman"/>
          <w:sz w:val="28"/>
          <w:szCs w:val="28"/>
        </w:rPr>
        <w:t>және</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жиынтық</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түрінде</w:t>
      </w:r>
      <w:r w:rsidRPr="00E755C3">
        <w:rPr>
          <w:rFonts w:ascii="Times New Roman" w:hAnsi="Times New Roman" w:cs="Times New Roman"/>
          <w:sz w:val="28"/>
          <w:szCs w:val="28"/>
          <w:lang w:val="en-US"/>
        </w:rPr>
        <w:t>)</w:t>
      </w:r>
    </w:p>
    <w:p w:rsidR="00201513" w:rsidRPr="00E755C3" w:rsidRDefault="00201513" w:rsidP="00201513">
      <w:pPr>
        <w:pStyle w:val="af1"/>
        <w:ind w:firstLine="708"/>
        <w:jc w:val="both"/>
        <w:rPr>
          <w:rFonts w:ascii="Times New Roman" w:hAnsi="Times New Roman" w:cs="Times New Roman"/>
          <w:color w:val="000000"/>
          <w:sz w:val="28"/>
          <w:szCs w:val="28"/>
          <w:lang w:val="en-US"/>
        </w:rPr>
      </w:pPr>
      <w:r w:rsidRPr="00E9519B">
        <w:rPr>
          <w:rFonts w:ascii="Times New Roman" w:hAnsi="Times New Roman" w:cs="Times New Roman"/>
          <w:sz w:val="28"/>
          <w:szCs w:val="28"/>
        </w:rPr>
        <w:t>Жинау</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әдісі</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электронды</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түрде</w:t>
      </w:r>
      <w:r w:rsidRPr="00E755C3">
        <w:rPr>
          <w:rFonts w:ascii="Times New Roman" w:hAnsi="Times New Roman" w:cs="Times New Roman"/>
          <w:sz w:val="28"/>
          <w:szCs w:val="28"/>
          <w:lang w:val="en-US"/>
        </w:rPr>
        <w:t>.</w:t>
      </w:r>
    </w:p>
    <w:p w:rsidR="00201513" w:rsidRPr="00E755C3" w:rsidRDefault="00201513" w:rsidP="00201513">
      <w:pPr>
        <w:pStyle w:val="af1"/>
        <w:jc w:val="both"/>
        <w:rPr>
          <w:rFonts w:ascii="Times New Roman" w:hAnsi="Times New Roman" w:cs="Times New Roman"/>
          <w:b/>
          <w:bCs/>
          <w:sz w:val="28"/>
          <w:szCs w:val="28"/>
          <w:lang w:val="en-US"/>
        </w:rPr>
      </w:pPr>
    </w:p>
    <w:p w:rsidR="00201513" w:rsidRPr="00E755C3" w:rsidRDefault="00201513" w:rsidP="00201513">
      <w:pPr>
        <w:pStyle w:val="af1"/>
        <w:jc w:val="center"/>
        <w:rPr>
          <w:rFonts w:ascii="Times New Roman" w:hAnsi="Times New Roman" w:cs="Times New Roman"/>
          <w:sz w:val="28"/>
          <w:szCs w:val="28"/>
          <w:lang w:val="en-US"/>
        </w:rPr>
      </w:pPr>
      <w:r w:rsidRPr="00E755C3">
        <w:rPr>
          <w:rFonts w:ascii="Times New Roman" w:hAnsi="Times New Roman" w:cs="Times New Roman"/>
          <w:sz w:val="28"/>
          <w:szCs w:val="28"/>
          <w:lang w:val="en-US"/>
        </w:rPr>
        <w:t xml:space="preserve">20___ </w:t>
      </w:r>
      <w:r w:rsidRPr="00E9519B">
        <w:rPr>
          <w:rFonts w:ascii="Times New Roman" w:hAnsi="Times New Roman" w:cs="Times New Roman"/>
          <w:sz w:val="28"/>
          <w:szCs w:val="28"/>
        </w:rPr>
        <w:t>жылғы</w:t>
      </w:r>
      <w:r w:rsidRPr="00E755C3">
        <w:rPr>
          <w:rFonts w:ascii="Times New Roman" w:hAnsi="Times New Roman" w:cs="Times New Roman"/>
          <w:sz w:val="28"/>
          <w:szCs w:val="28"/>
          <w:lang w:val="en-US"/>
        </w:rPr>
        <w:t xml:space="preserve"> «___» ________ </w:t>
      </w:r>
      <w:r w:rsidRPr="00E9519B">
        <w:rPr>
          <w:rFonts w:ascii="Times New Roman" w:hAnsi="Times New Roman" w:cs="Times New Roman"/>
          <w:sz w:val="28"/>
          <w:szCs w:val="28"/>
        </w:rPr>
        <w:t>бастап</w:t>
      </w:r>
      <w:r w:rsidRPr="00E755C3">
        <w:rPr>
          <w:rFonts w:ascii="Times New Roman" w:hAnsi="Times New Roman" w:cs="Times New Roman"/>
          <w:sz w:val="28"/>
          <w:szCs w:val="28"/>
          <w:lang w:val="en-US"/>
        </w:rPr>
        <w:t xml:space="preserve"> 20___ </w:t>
      </w:r>
      <w:r w:rsidRPr="00E9519B">
        <w:rPr>
          <w:rFonts w:ascii="Times New Roman" w:hAnsi="Times New Roman" w:cs="Times New Roman"/>
          <w:sz w:val="28"/>
          <w:szCs w:val="28"/>
        </w:rPr>
        <w:t>жылғы</w:t>
      </w:r>
      <w:r w:rsidRPr="00E755C3">
        <w:rPr>
          <w:rFonts w:ascii="Times New Roman" w:hAnsi="Times New Roman" w:cs="Times New Roman"/>
          <w:sz w:val="28"/>
          <w:szCs w:val="28"/>
          <w:lang w:val="en-US"/>
        </w:rPr>
        <w:t xml:space="preserve"> «____» ________ </w:t>
      </w:r>
      <w:r w:rsidRPr="00E9519B">
        <w:rPr>
          <w:rFonts w:ascii="Times New Roman" w:hAnsi="Times New Roman" w:cs="Times New Roman"/>
          <w:sz w:val="28"/>
          <w:szCs w:val="28"/>
        </w:rPr>
        <w:t>дейінгі</w:t>
      </w:r>
      <w:r w:rsidRPr="00E755C3">
        <w:rPr>
          <w:rFonts w:ascii="Times New Roman" w:hAnsi="Times New Roman" w:cs="Times New Roman"/>
          <w:sz w:val="28"/>
          <w:szCs w:val="28"/>
          <w:lang w:val="en-US"/>
        </w:rPr>
        <w:t xml:space="preserve"> </w:t>
      </w:r>
      <w:r w:rsidRPr="00E9519B">
        <w:rPr>
          <w:rFonts w:ascii="Times New Roman" w:hAnsi="Times New Roman" w:cs="Times New Roman"/>
          <w:sz w:val="28"/>
          <w:szCs w:val="28"/>
        </w:rPr>
        <w:t>кезеңге</w:t>
      </w:r>
    </w:p>
    <w:p w:rsidR="00201513" w:rsidRPr="00E755C3" w:rsidRDefault="00201513" w:rsidP="00201513">
      <w:pPr>
        <w:pStyle w:val="af1"/>
        <w:jc w:val="center"/>
        <w:rPr>
          <w:rFonts w:ascii="Times New Roman" w:hAnsi="Times New Roman" w:cs="Times New Roman"/>
          <w:sz w:val="28"/>
          <w:szCs w:val="28"/>
          <w:lang w:val="en-US"/>
        </w:rPr>
      </w:pPr>
    </w:p>
    <w:p w:rsidR="00201513" w:rsidRPr="00E755C3" w:rsidRDefault="00201513" w:rsidP="00201513">
      <w:pPr>
        <w:pStyle w:val="af1"/>
        <w:jc w:val="center"/>
        <w:rPr>
          <w:rFonts w:ascii="Times New Roman" w:hAnsi="Times New Roman" w:cs="Times New Roman"/>
          <w:color w:val="000000"/>
          <w:sz w:val="28"/>
          <w:szCs w:val="28"/>
          <w:lang w:val="en-US"/>
        </w:rPr>
      </w:pPr>
      <w:bookmarkStart w:id="3" w:name="z269"/>
      <w:r w:rsidRPr="00E755C3">
        <w:rPr>
          <w:rFonts w:ascii="Times New Roman" w:hAnsi="Times New Roman" w:cs="Times New Roman"/>
          <w:color w:val="000000"/>
          <w:sz w:val="28"/>
          <w:szCs w:val="28"/>
          <w:lang w:val="en-US"/>
        </w:rPr>
        <w:t>_______________________________________________________________</w:t>
      </w:r>
      <w:proofErr w:type="gramStart"/>
      <w:r w:rsidRPr="00E755C3">
        <w:rPr>
          <w:rFonts w:ascii="Times New Roman" w:hAnsi="Times New Roman" w:cs="Times New Roman"/>
          <w:color w:val="000000"/>
          <w:sz w:val="28"/>
          <w:szCs w:val="28"/>
          <w:lang w:val="en-US"/>
        </w:rPr>
        <w:t>_</w:t>
      </w:r>
      <w:proofErr w:type="gramEnd"/>
      <w:r w:rsidRPr="00E755C3">
        <w:rPr>
          <w:rFonts w:ascii="Times New Roman" w:hAnsi="Times New Roman" w:cs="Times New Roman"/>
          <w:sz w:val="28"/>
          <w:szCs w:val="28"/>
          <w:lang w:val="en-US"/>
        </w:rPr>
        <w:br/>
      </w:r>
      <w:r w:rsidRPr="00E755C3">
        <w:rPr>
          <w:rFonts w:ascii="Times New Roman" w:hAnsi="Times New Roman" w:cs="Times New Roman"/>
          <w:color w:val="000000"/>
          <w:sz w:val="28"/>
          <w:szCs w:val="28"/>
          <w:lang w:val="en-US"/>
        </w:rPr>
        <w:t>(</w:t>
      </w:r>
      <w:r w:rsidRPr="00E9519B">
        <w:rPr>
          <w:rFonts w:ascii="Times New Roman" w:hAnsi="Times New Roman" w:cs="Times New Roman"/>
          <w:color w:val="000000"/>
          <w:sz w:val="28"/>
          <w:szCs w:val="28"/>
        </w:rPr>
        <w:t>Аты</w:t>
      </w:r>
      <w:r w:rsidR="00E9519B" w:rsidRPr="00546132">
        <w:rPr>
          <w:rFonts w:ascii="Times New Roman" w:hAnsi="Times New Roman" w:cs="Times New Roman"/>
          <w:sz w:val="28"/>
          <w:szCs w:val="28"/>
        </w:rPr>
        <w:t>есеп</w:t>
      </w:r>
      <w:r w:rsidR="00E9519B" w:rsidRPr="00E755C3">
        <w:rPr>
          <w:rFonts w:ascii="Times New Roman" w:hAnsi="Times New Roman" w:cs="Times New Roman"/>
          <w:sz w:val="28"/>
          <w:szCs w:val="28"/>
          <w:lang w:val="en-US"/>
        </w:rPr>
        <w:t xml:space="preserve"> </w:t>
      </w:r>
      <w:r w:rsidR="00E9519B" w:rsidRPr="00546132">
        <w:rPr>
          <w:rFonts w:ascii="Times New Roman" w:hAnsi="Times New Roman" w:cs="Times New Roman"/>
          <w:sz w:val="28"/>
          <w:szCs w:val="28"/>
        </w:rPr>
        <w:t>беретін</w:t>
      </w:r>
      <w:r w:rsidR="00E9519B" w:rsidRPr="00E755C3">
        <w:rPr>
          <w:rFonts w:ascii="Times New Roman" w:hAnsi="Times New Roman" w:cs="Times New Roman"/>
          <w:sz w:val="28"/>
          <w:szCs w:val="28"/>
          <w:lang w:val="en-US"/>
        </w:rPr>
        <w:t xml:space="preserve"> </w:t>
      </w:r>
      <w:r w:rsidR="00E9519B" w:rsidRPr="00546132">
        <w:rPr>
          <w:rFonts w:ascii="Times New Roman" w:hAnsi="Times New Roman" w:cs="Times New Roman"/>
          <w:sz w:val="28"/>
          <w:szCs w:val="28"/>
        </w:rPr>
        <w:t>қаржы</w:t>
      </w:r>
      <w:r w:rsidR="00E9519B" w:rsidRPr="00E755C3">
        <w:rPr>
          <w:rFonts w:ascii="Times New Roman" w:hAnsi="Times New Roman" w:cs="Times New Roman"/>
          <w:sz w:val="28"/>
          <w:szCs w:val="28"/>
          <w:lang w:val="en-US"/>
        </w:rPr>
        <w:t xml:space="preserve"> </w:t>
      </w:r>
      <w:r w:rsidR="00E9519B" w:rsidRPr="00546132">
        <w:rPr>
          <w:rFonts w:ascii="Times New Roman" w:hAnsi="Times New Roman" w:cs="Times New Roman"/>
          <w:sz w:val="28"/>
          <w:szCs w:val="28"/>
        </w:rPr>
        <w:t>ұйымы</w:t>
      </w:r>
      <w:r w:rsidRPr="00E755C3">
        <w:rPr>
          <w:rFonts w:ascii="Times New Roman" w:hAnsi="Times New Roman" w:cs="Times New Roman"/>
          <w:color w:val="000000"/>
          <w:sz w:val="28"/>
          <w:szCs w:val="28"/>
          <w:lang w:val="en-US"/>
        </w:rPr>
        <w:t>)</w:t>
      </w:r>
    </w:p>
    <w:p w:rsidR="00201513" w:rsidRPr="00E755C3" w:rsidRDefault="00201513" w:rsidP="00201513">
      <w:pPr>
        <w:pStyle w:val="af1"/>
        <w:jc w:val="center"/>
        <w:rPr>
          <w:rFonts w:ascii="Times New Roman" w:hAnsi="Times New Roman" w:cs="Times New Roman"/>
          <w:color w:val="000000"/>
          <w:sz w:val="28"/>
          <w:szCs w:val="28"/>
          <w:lang w:val="en-US"/>
        </w:rPr>
      </w:pPr>
      <w:r w:rsidRPr="00E755C3">
        <w:rPr>
          <w:rFonts w:ascii="Times New Roman" w:hAnsi="Times New Roman" w:cs="Times New Roman"/>
          <w:color w:val="000000"/>
          <w:sz w:val="28"/>
          <w:szCs w:val="28"/>
          <w:lang w:val="en-US"/>
        </w:rPr>
        <w:t>______________________________________________________________________</w:t>
      </w:r>
    </w:p>
    <w:p w:rsidR="00D54DEB" w:rsidRPr="00E755C3" w:rsidRDefault="00201513" w:rsidP="00201513">
      <w:pPr>
        <w:pStyle w:val="af1"/>
        <w:jc w:val="center"/>
        <w:rPr>
          <w:rFonts w:ascii="Times New Roman" w:hAnsi="Times New Roman" w:cs="Times New Roman"/>
          <w:color w:val="000000"/>
          <w:sz w:val="28"/>
          <w:szCs w:val="28"/>
          <w:lang w:val="en-US"/>
        </w:rPr>
      </w:pPr>
      <w:r w:rsidRPr="00E755C3">
        <w:rPr>
          <w:rFonts w:ascii="Times New Roman" w:hAnsi="Times New Roman" w:cs="Times New Roman"/>
          <w:color w:val="000000"/>
          <w:sz w:val="28"/>
          <w:szCs w:val="28"/>
          <w:lang w:val="en-US"/>
        </w:rPr>
        <w:t>(</w:t>
      </w:r>
      <w:proofErr w:type="gramStart"/>
      <w:r w:rsidRPr="00E9519B">
        <w:rPr>
          <w:rFonts w:ascii="Times New Roman" w:hAnsi="Times New Roman" w:cs="Times New Roman"/>
          <w:color w:val="000000"/>
          <w:sz w:val="28"/>
          <w:szCs w:val="28"/>
        </w:rPr>
        <w:t>бизнес</w:t>
      </w:r>
      <w:proofErr w:type="gramEnd"/>
      <w:r w:rsidRPr="00E755C3">
        <w:rPr>
          <w:rFonts w:ascii="Times New Roman" w:hAnsi="Times New Roman" w:cs="Times New Roman"/>
          <w:color w:val="000000"/>
          <w:sz w:val="28"/>
          <w:szCs w:val="28"/>
          <w:lang w:val="en-US"/>
        </w:rPr>
        <w:t xml:space="preserve"> </w:t>
      </w:r>
      <w:r w:rsidRPr="00E9519B">
        <w:rPr>
          <w:rFonts w:ascii="Times New Roman" w:hAnsi="Times New Roman" w:cs="Times New Roman"/>
          <w:color w:val="000000"/>
          <w:sz w:val="28"/>
          <w:szCs w:val="28"/>
        </w:rPr>
        <w:t>сәйкестендіру</w:t>
      </w:r>
      <w:r w:rsidRPr="00E755C3">
        <w:rPr>
          <w:rFonts w:ascii="Times New Roman" w:hAnsi="Times New Roman" w:cs="Times New Roman"/>
          <w:color w:val="000000"/>
          <w:sz w:val="28"/>
          <w:szCs w:val="28"/>
          <w:lang w:val="en-US"/>
        </w:rPr>
        <w:t xml:space="preserve"> </w:t>
      </w:r>
      <w:r w:rsidRPr="00E9519B">
        <w:rPr>
          <w:rFonts w:ascii="Times New Roman" w:hAnsi="Times New Roman" w:cs="Times New Roman"/>
          <w:color w:val="000000"/>
          <w:sz w:val="28"/>
          <w:szCs w:val="28"/>
        </w:rPr>
        <w:t>нөмірі</w:t>
      </w:r>
      <w:r w:rsidR="00E9519B" w:rsidRPr="00546132">
        <w:rPr>
          <w:rFonts w:ascii="Times New Roman" w:hAnsi="Times New Roman" w:cs="Times New Roman"/>
          <w:sz w:val="28"/>
          <w:szCs w:val="28"/>
        </w:rPr>
        <w:t>есеп</w:t>
      </w:r>
      <w:r w:rsidR="00E9519B" w:rsidRPr="00E755C3">
        <w:rPr>
          <w:rFonts w:ascii="Times New Roman" w:hAnsi="Times New Roman" w:cs="Times New Roman"/>
          <w:sz w:val="28"/>
          <w:szCs w:val="28"/>
          <w:lang w:val="en-US"/>
        </w:rPr>
        <w:t xml:space="preserve"> </w:t>
      </w:r>
      <w:r w:rsidR="00E9519B" w:rsidRPr="00546132">
        <w:rPr>
          <w:rFonts w:ascii="Times New Roman" w:hAnsi="Times New Roman" w:cs="Times New Roman"/>
          <w:sz w:val="28"/>
          <w:szCs w:val="28"/>
        </w:rPr>
        <w:t>беретін</w:t>
      </w:r>
      <w:r w:rsidR="00E9519B" w:rsidRPr="00E755C3">
        <w:rPr>
          <w:rFonts w:ascii="Times New Roman" w:hAnsi="Times New Roman" w:cs="Times New Roman"/>
          <w:sz w:val="28"/>
          <w:szCs w:val="28"/>
          <w:lang w:val="en-US"/>
        </w:rPr>
        <w:t xml:space="preserve"> </w:t>
      </w:r>
      <w:r w:rsidR="00E9519B" w:rsidRPr="00546132">
        <w:rPr>
          <w:rFonts w:ascii="Times New Roman" w:hAnsi="Times New Roman" w:cs="Times New Roman"/>
          <w:sz w:val="28"/>
          <w:szCs w:val="28"/>
        </w:rPr>
        <w:t>қаржылық</w:t>
      </w:r>
      <w:r w:rsidRPr="00E9519B">
        <w:rPr>
          <w:rFonts w:ascii="Times New Roman" w:hAnsi="Times New Roman" w:cs="Times New Roman"/>
          <w:color w:val="000000"/>
          <w:sz w:val="28"/>
          <w:szCs w:val="28"/>
        </w:rPr>
        <w:t>ұйымдар</w:t>
      </w:r>
      <w:r w:rsidRPr="00E755C3">
        <w:rPr>
          <w:rFonts w:ascii="Times New Roman" w:hAnsi="Times New Roman" w:cs="Times New Roman"/>
          <w:color w:val="000000"/>
          <w:sz w:val="28"/>
          <w:szCs w:val="28"/>
          <w:lang w:val="en-US"/>
        </w:rPr>
        <w:t>)</w:t>
      </w:r>
    </w:p>
    <w:p w:rsidR="00D54DEB" w:rsidRPr="00E755C3" w:rsidRDefault="00D54DEB" w:rsidP="00201513">
      <w:pPr>
        <w:pStyle w:val="af1"/>
        <w:jc w:val="center"/>
        <w:rPr>
          <w:rFonts w:ascii="Times New Roman" w:hAnsi="Times New Roman" w:cs="Times New Roman"/>
          <w:color w:val="000000"/>
          <w:sz w:val="28"/>
          <w:szCs w:val="28"/>
          <w:lang w:val="en-US"/>
        </w:rPr>
      </w:pPr>
    </w:p>
    <w:p w:rsidR="00D54DEB" w:rsidRPr="00E755C3" w:rsidRDefault="00D54DEB" w:rsidP="00201513">
      <w:pPr>
        <w:pStyle w:val="af1"/>
        <w:jc w:val="center"/>
        <w:rPr>
          <w:rFonts w:ascii="Times New Roman" w:hAnsi="Times New Roman" w:cs="Times New Roman"/>
          <w:color w:val="000000"/>
          <w:sz w:val="28"/>
          <w:szCs w:val="28"/>
          <w:lang w:val="en-US"/>
        </w:rPr>
      </w:pPr>
    </w:p>
    <w:bookmarkEnd w:id="3"/>
    <w:p w:rsidR="00216C64" w:rsidRPr="00546132" w:rsidRDefault="00216C64" w:rsidP="006E218D">
      <w:pPr>
        <w:pStyle w:val="af1"/>
        <w:jc w:val="center"/>
        <w:rPr>
          <w:color w:val="000000"/>
          <w:spacing w:val="2"/>
          <w:sz w:val="20"/>
          <w:szCs w:val="20"/>
        </w:rPr>
      </w:pPr>
      <w:r w:rsidRPr="00546132">
        <w:rPr>
          <w:noProof/>
          <w:color w:val="000000"/>
          <w:spacing w:val="2"/>
          <w:sz w:val="20"/>
          <w:szCs w:val="20"/>
          <w:lang w:eastAsia="ru-RU"/>
        </w:rPr>
        <w:lastRenderedPageBreak/>
        <w:drawing>
          <wp:inline distT="0" distB="0" distL="0" distR="0" wp14:anchorId="239FBBB2" wp14:editId="2737A511">
            <wp:extent cx="6076950" cy="9229725"/>
            <wp:effectExtent l="0" t="0" r="0" b="9525"/>
            <wp:docPr id="9" name="Рисунок 9" descr="http://www.adilet.zan.kz/files/1371/9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dilet.zan.kz/files/1371/98/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6950" cy="9229725"/>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4076EBEF" wp14:editId="2D45FBE1">
            <wp:extent cx="6105525" cy="5857875"/>
            <wp:effectExtent l="0" t="0" r="9525" b="9525"/>
            <wp:docPr id="8" name="Рисунок 8" descr="http://www.adilet.zan.kz/files/1371/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dilet.zan.kz/files/1371/9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5525" cy="5857875"/>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70DCA839" wp14:editId="5C2E8978">
            <wp:extent cx="6115050" cy="5048250"/>
            <wp:effectExtent l="0" t="0" r="0" b="0"/>
            <wp:docPr id="7" name="Рисунок 7" descr="http://www.adilet.zan.kz/files/1371/9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dilet.zan.kz/files/1371/98/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0" cy="5048250"/>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005C96B1" wp14:editId="7B0DAC76">
            <wp:extent cx="6086475" cy="5381625"/>
            <wp:effectExtent l="0" t="0" r="9525" b="9525"/>
            <wp:docPr id="6" name="Рисунок 6" descr="http://www.adilet.zan.kz/files/1371/9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dilet.zan.kz/files/1371/98/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6475" cy="5381625"/>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569E127E" wp14:editId="09385C18">
            <wp:extent cx="6086475" cy="5238750"/>
            <wp:effectExtent l="0" t="0" r="9525" b="0"/>
            <wp:docPr id="5" name="Рисунок 5" descr="http://www.adilet.zan.kz/files/1371/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dilet.zan.kz/files/1371/98/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6475" cy="5238750"/>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5231C2E9" wp14:editId="5A0F3557">
            <wp:extent cx="6124575" cy="5057775"/>
            <wp:effectExtent l="0" t="0" r="9525" b="9525"/>
            <wp:docPr id="4" name="Рисунок 4" descr="http://www.adilet.zan.kz/files/1371/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dilet.zan.kz/files/1371/98/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4575" cy="5057775"/>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147E3C80" wp14:editId="49E3B192">
            <wp:extent cx="6010275" cy="5248275"/>
            <wp:effectExtent l="0" t="0" r="9525" b="9525"/>
            <wp:docPr id="3" name="Рисунок 3" descr="http://www.adilet.zan.kz/files/1371/9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dilet.zan.kz/files/1371/98/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0275" cy="5248275"/>
                    </a:xfrm>
                    <a:prstGeom prst="rect">
                      <a:avLst/>
                    </a:prstGeom>
                    <a:noFill/>
                    <a:ln>
                      <a:noFill/>
                    </a:ln>
                  </pic:spPr>
                </pic:pic>
              </a:graphicData>
            </a:graphic>
          </wp:inline>
        </w:drawing>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3F201B49" wp14:editId="4DC392EA">
            <wp:extent cx="6067425" cy="5381625"/>
            <wp:effectExtent l="0" t="0" r="9525" b="9525"/>
            <wp:docPr id="2" name="Рисунок 2" descr="http://www.adilet.zan.kz/files/1371/9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dilet.zan.kz/files/1371/98/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83482" cy="5395867"/>
                    </a:xfrm>
                    <a:prstGeom prst="rect">
                      <a:avLst/>
                    </a:prstGeom>
                    <a:noFill/>
                    <a:ln>
                      <a:noFill/>
                    </a:ln>
                  </pic:spPr>
                </pic:pic>
              </a:graphicData>
            </a:graphic>
          </wp:inline>
        </w:drawing>
      </w:r>
    </w:p>
    <w:p w:rsidR="00216C64" w:rsidRPr="00546132" w:rsidRDefault="00216C64" w:rsidP="00216C64">
      <w:pPr>
        <w:textAlignment w:val="baseline"/>
        <w:rPr>
          <w:color w:val="444444"/>
          <w:sz w:val="20"/>
          <w:szCs w:val="20"/>
          <w:lang w:val="ru-RU"/>
        </w:rPr>
      </w:pPr>
      <w:r w:rsidRPr="00546132">
        <w:rPr>
          <w:color w:val="444444"/>
          <w:sz w:val="20"/>
          <w:szCs w:val="20"/>
          <w:lang w:val="ru-RU"/>
        </w:rPr>
        <w:br/>
      </w:r>
      <w:r w:rsidRPr="00546132">
        <w:rPr>
          <w:color w:val="444444"/>
          <w:sz w:val="20"/>
          <w:szCs w:val="20"/>
          <w:lang w:val="ru-RU"/>
        </w:rPr>
        <w:br/>
      </w: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p>
    <w:p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62E7FB37" wp14:editId="789D4F82">
            <wp:extent cx="6038850" cy="4752975"/>
            <wp:effectExtent l="0" t="0" r="0" b="9525"/>
            <wp:docPr id="1" name="Рисунок 1" descr="http://www.adilet.zan.kz/files/1371/9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dilet.zan.kz/files/1371/98/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8850" cy="4752975"/>
                    </a:xfrm>
                    <a:prstGeom prst="rect">
                      <a:avLst/>
                    </a:prstGeom>
                    <a:noFill/>
                    <a:ln>
                      <a:noFill/>
                    </a:ln>
                  </pic:spPr>
                </pic:pic>
              </a:graphicData>
            </a:graphic>
          </wp:inline>
        </w:drawing>
      </w:r>
    </w:p>
    <w:p w:rsidR="00216C64" w:rsidRPr="00546132" w:rsidRDefault="00216C64" w:rsidP="00216C64">
      <w:pPr>
        <w:textAlignment w:val="baseline"/>
        <w:rPr>
          <w:color w:val="444444"/>
          <w:sz w:val="20"/>
          <w:szCs w:val="20"/>
          <w:lang w:val="ru-RU"/>
        </w:rPr>
      </w:pPr>
      <w:r w:rsidRPr="00546132">
        <w:rPr>
          <w:color w:val="444444"/>
          <w:sz w:val="20"/>
          <w:szCs w:val="20"/>
          <w:lang w:val="ru-RU"/>
        </w:rPr>
        <w:br/>
      </w: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546132" w:rsidRDefault="00E9519B" w:rsidP="00216C64">
      <w:pPr>
        <w:textAlignment w:val="baseline"/>
        <w:rPr>
          <w:color w:val="444444"/>
          <w:sz w:val="20"/>
          <w:szCs w:val="20"/>
          <w:lang w:val="ru-RU"/>
        </w:rPr>
      </w:pPr>
    </w:p>
    <w:p w:rsidR="00E9519B" w:rsidRPr="00E9519B" w:rsidRDefault="00E9519B" w:rsidP="00E9519B">
      <w:pPr>
        <w:pStyle w:val="af1"/>
        <w:ind w:left="3828"/>
        <w:jc w:val="center"/>
        <w:rPr>
          <w:rFonts w:ascii="Times New Roman" w:hAnsi="Times New Roman" w:cs="Times New Roman"/>
          <w:sz w:val="28"/>
          <w:szCs w:val="28"/>
        </w:rPr>
      </w:pPr>
      <w:r w:rsidRPr="00E9519B">
        <w:rPr>
          <w:rFonts w:ascii="Times New Roman" w:hAnsi="Times New Roman" w:cs="Times New Roman"/>
          <w:sz w:val="28"/>
          <w:szCs w:val="28"/>
        </w:rPr>
        <w:lastRenderedPageBreak/>
        <w:t>Пішінге қосымша</w:t>
      </w:r>
    </w:p>
    <w:p w:rsidR="00E9519B" w:rsidRPr="00E9519B" w:rsidRDefault="00E9519B" w:rsidP="00E9519B">
      <w:pPr>
        <w:pStyle w:val="af1"/>
        <w:ind w:left="3828"/>
        <w:jc w:val="center"/>
        <w:rPr>
          <w:rFonts w:ascii="Times New Roman" w:hAnsi="Times New Roman" w:cs="Times New Roman"/>
          <w:sz w:val="20"/>
          <w:szCs w:val="20"/>
        </w:rPr>
      </w:pPr>
      <w:r w:rsidRPr="00E9519B">
        <w:rPr>
          <w:rFonts w:ascii="Times New Roman" w:hAnsi="Times New Roman" w:cs="Times New Roman"/>
          <w:sz w:val="28"/>
          <w:szCs w:val="28"/>
        </w:rPr>
        <w:t>«Екінші деңгейдегі банктердің, Қазақстан Республикасының резидент емес банктерінің филиалдарының және банк операцияларының жекелеген түрлерін жүзеге асыратын ұйымдардың, кастодиандардың, оның ішінде инвестициялық портфельді басқарушылардың, орталық депозитарийдің, бағалы қағаздардың номиналды ұстаушылары ретінде клиенттердің шоттарын жүргізуге құқығы бар брокерлердің және (немесе) дилерлерінің (өмірді сақтандыру секторында, сақтандыру секторында, сақтандыру ұйымдарында, сақтандыру секторында) мемлекеттік кірістер органдарына берген мәліметтері; Қазақстан Республикасының резиденті емес (қайта сақтандыру) ұйымдары және сақтандыру брокерлері (026.00-нысан)»</w:t>
      </w:r>
    </w:p>
    <w:p w:rsidR="00E9519B" w:rsidRPr="00E9519B" w:rsidRDefault="00E9519B" w:rsidP="00E9519B">
      <w:pPr>
        <w:pStyle w:val="af1"/>
        <w:jc w:val="both"/>
        <w:rPr>
          <w:rFonts w:ascii="Times New Roman" w:hAnsi="Times New Roman" w:cs="Times New Roman"/>
          <w:sz w:val="20"/>
          <w:szCs w:val="20"/>
        </w:rPr>
      </w:pPr>
    </w:p>
    <w:p w:rsidR="00E9519B" w:rsidRPr="00E9519B" w:rsidRDefault="00E9519B" w:rsidP="00E9519B">
      <w:pPr>
        <w:pStyle w:val="af1"/>
        <w:jc w:val="both"/>
        <w:rPr>
          <w:rFonts w:ascii="Times New Roman" w:hAnsi="Times New Roman" w:cs="Times New Roman"/>
          <w:sz w:val="20"/>
          <w:szCs w:val="20"/>
        </w:rPr>
      </w:pPr>
    </w:p>
    <w:p w:rsidR="00E9519B" w:rsidRPr="00E9519B" w:rsidRDefault="00E9519B" w:rsidP="00E9519B">
      <w:pPr>
        <w:pStyle w:val="af1"/>
        <w:jc w:val="center"/>
        <w:rPr>
          <w:rFonts w:ascii="Times New Roman" w:hAnsi="Times New Roman" w:cs="Times New Roman"/>
          <w:b/>
          <w:bCs/>
          <w:sz w:val="28"/>
          <w:szCs w:val="28"/>
        </w:rPr>
      </w:pPr>
      <w:r w:rsidRPr="00E9519B">
        <w:rPr>
          <w:rFonts w:ascii="Times New Roman" w:hAnsi="Times New Roman" w:cs="Times New Roman"/>
          <w:b/>
          <w:bCs/>
          <w:sz w:val="28"/>
          <w:szCs w:val="28"/>
        </w:rPr>
        <w:t>Толтыру туралы түсініктеме</w:t>
      </w:r>
    </w:p>
    <w:p w:rsidR="00E9519B" w:rsidRPr="00BA636A" w:rsidRDefault="00EB716A" w:rsidP="00D54DEB">
      <w:pPr>
        <w:pStyle w:val="af1"/>
        <w:jc w:val="center"/>
        <w:rPr>
          <w:rFonts w:ascii="Times New Roman" w:hAnsi="Times New Roman" w:cs="Times New Roman"/>
          <w:b/>
          <w:sz w:val="28"/>
          <w:szCs w:val="28"/>
        </w:rPr>
      </w:pPr>
      <w:r>
        <w:rPr>
          <w:rFonts w:ascii="Times New Roman" w:hAnsi="Times New Roman" w:cs="Times New Roman"/>
          <w:b/>
          <w:bCs/>
          <w:sz w:val="28"/>
          <w:szCs w:val="28"/>
        </w:rPr>
        <w:t>ақпарат,</w:t>
      </w:r>
      <w:r>
        <w:rPr>
          <w:rFonts w:ascii="Times New Roman" w:hAnsi="Times New Roman" w:cs="Times New Roman"/>
          <w:b/>
          <w:sz w:val="28"/>
          <w:szCs w:val="28"/>
        </w:rPr>
        <w:t>екінші деңгейдегі банктер, Қазақстан Республикасының резидент емес банктерінің филиалдары және банк операцияларының жекелеген түрлерін жүзеге асыратын ұйымдар, кастодиандар, оның ішінде инвестициялық портфельді басқарушылар, орталық депозитарий, брокерлер және (немесе) бағалы қағаздардың номиналды ұстаушылары ретінде клиенттердің шоттарын жүргізуге құқығы бар брокерлер және (немесе) дилерлер, сақтандыру секторы ұйымдары, сақтандыру секторы ұйымдары, сақтандыру ұйымдары, сақтандыру ұйымдары, сақтандыру ұйымдары, сақтандыру ұйымдары, сақтандыру ұйымдары Қазақстан Республикасының резидент еместері (қайта сақтандыру) ұйымдары және сақтандыру брокерлері (026.00-нысан)</w:t>
      </w:r>
    </w:p>
    <w:p w:rsidR="00E9519B" w:rsidRPr="00E9519B" w:rsidRDefault="00E9519B" w:rsidP="00E9519B">
      <w:pPr>
        <w:pStyle w:val="af1"/>
        <w:jc w:val="center"/>
        <w:rPr>
          <w:rFonts w:ascii="Times New Roman" w:hAnsi="Times New Roman" w:cs="Times New Roman"/>
          <w:b/>
          <w:bCs/>
          <w:sz w:val="28"/>
          <w:szCs w:val="28"/>
        </w:rPr>
      </w:pPr>
    </w:p>
    <w:p w:rsidR="00E9519B" w:rsidRPr="00E9519B" w:rsidRDefault="00E9519B" w:rsidP="00E9519B">
      <w:pPr>
        <w:pStyle w:val="af1"/>
        <w:jc w:val="center"/>
        <w:rPr>
          <w:rFonts w:ascii="Times New Roman" w:hAnsi="Times New Roman" w:cs="Times New Roman"/>
          <w:b/>
          <w:bCs/>
          <w:sz w:val="28"/>
          <w:szCs w:val="28"/>
        </w:rPr>
      </w:pPr>
      <w:r w:rsidRPr="00E9519B">
        <w:rPr>
          <w:rFonts w:ascii="Times New Roman" w:hAnsi="Times New Roman" w:cs="Times New Roman"/>
          <w:b/>
          <w:bCs/>
          <w:sz w:val="28"/>
          <w:szCs w:val="28"/>
        </w:rPr>
        <w:t>1-тарау. Жалпы ережелер</w:t>
      </w:r>
    </w:p>
    <w:p w:rsidR="00E9519B" w:rsidRPr="00E9519B" w:rsidRDefault="00E9519B" w:rsidP="00E9519B">
      <w:pPr>
        <w:pStyle w:val="af1"/>
        <w:jc w:val="both"/>
        <w:rPr>
          <w:rFonts w:ascii="Times New Roman" w:hAnsi="Times New Roman" w:cs="Times New Roman"/>
          <w:sz w:val="20"/>
          <w:szCs w:val="20"/>
        </w:rPr>
      </w:pPr>
    </w:p>
    <w:p w:rsidR="00E9519B" w:rsidRPr="00276650" w:rsidRDefault="00E9519B" w:rsidP="00276650">
      <w:pPr>
        <w:pStyle w:val="af1"/>
        <w:ind w:firstLine="709"/>
        <w:jc w:val="both"/>
        <w:rPr>
          <w:sz w:val="28"/>
          <w:szCs w:val="28"/>
        </w:rPr>
      </w:pPr>
      <w:r w:rsidRPr="00BA636A">
        <w:rPr>
          <w:rFonts w:ascii="Times New Roman" w:hAnsi="Times New Roman" w:cs="Times New Roman"/>
          <w:sz w:val="28"/>
          <w:szCs w:val="28"/>
        </w:rPr>
        <w:t xml:space="preserve">1. «Екінші деңгейдегі банктердің, Қазақстан Республикасының резидент емес банктерінің филиалдарының және банк операцияларының жекелеген түрлерін жүзеге асыратын ұйымдардың, кастодиандардың, оның ішінде инвестициялық портфельді басқарушылардың, орталық депозитарийдің, брокерлердің және (немесе) дилерлердің, сақтандыру секторында қызмет ететін сақтандыру ұйымдарында, сақтандыру секторында номиналды ұстаушы ретінде, сақтандыру (сақтандыру) ұйымдарында номиналды ұстаушылар ретінде мемлекеттік кірістер органдарына ұсынатын мәліметтері» нысаны. ұйымдар, Қазақстан Республикасының резидент емес сақтандыру (қайта сақтандыру) ұйымдарының филиалдары және сақтандыру брокерлері (026.00-нысан)» (бұдан </w:t>
      </w:r>
      <w:r w:rsidRPr="00BA636A">
        <w:rPr>
          <w:rFonts w:ascii="Times New Roman" w:hAnsi="Times New Roman" w:cs="Times New Roman"/>
          <w:sz w:val="28"/>
          <w:szCs w:val="28"/>
        </w:rPr>
        <w:lastRenderedPageBreak/>
        <w:t>әрі – 026.00-нысан) Қазақстан Республикасы Қаржы министрлігінің Мемлекеттік кірістер комитетінің (бұдан әрі – Комитет) Қазақстан Республикасының банкі емес ұйымдарынан, екінші филиалдарынан және банктік емес ұйымдардан өндіріп алуға арналған. банк операцияларының жекелеген түрлерін жүзеге асыратын кастодиандар, оның ішінде инвестициялық портфельді басқарушылар, орталық депозитарий, бағалы қағаздардың номиналды ұстаушылары ретінде клиенттердің шоттарын жүргізуге құқығы бар брокерлер және (немесе) дилерлер;</w:t>
      </w:r>
      <w:r w:rsidRPr="00276650">
        <w:rPr>
          <w:rFonts w:ascii="Times New Roman" w:hAnsi="Times New Roman" w:cs="Times New Roman"/>
          <w:color w:val="000000"/>
          <w:sz w:val="28"/>
        </w:rPr>
        <w:t>өмірді сақтандыру саласында жұмыс істейтін сақтандыру ұйымдары,</w:t>
      </w:r>
      <w:r w:rsidRPr="00276650">
        <w:rPr>
          <w:rFonts w:ascii="Times New Roman" w:hAnsi="Times New Roman" w:cs="Times New Roman"/>
          <w:sz w:val="28"/>
          <w:szCs w:val="28"/>
        </w:rPr>
        <w:t>сақтандыру (қайта сақтандыру) ұйымдары, сақтандыру (қайта сақтандыру) ұйымдарының Қазақстан Республикасының резиденті емес филиалдары және</w:t>
      </w:r>
      <w:r w:rsidRPr="00276650">
        <w:rPr>
          <w:rFonts w:ascii="Times New Roman" w:hAnsi="Times New Roman" w:cs="Times New Roman"/>
          <w:color w:val="000000"/>
          <w:sz w:val="28"/>
        </w:rPr>
        <w:t>сақтандыру брокерлері</w:t>
      </w:r>
      <w:r w:rsidRPr="00276650">
        <w:rPr>
          <w:rFonts w:ascii="Times New Roman" w:hAnsi="Times New Roman" w:cs="Times New Roman"/>
          <w:sz w:val="28"/>
          <w:szCs w:val="28"/>
        </w:rPr>
        <w:t>Қазақстан Республикасының Заңымен ратификацияланған Салық істері бойынша өзара әкімшілік көмек туралы конвенцияның (бұдан әрі - Конвенция) кіріспе бөлігінің сегізінші абзацын және 6-бабын (бұдан әрі - Конвенция) ескере отырып, (бұдан әрі - есеп беретін қаржы ұйымы) Ақпарат алмасу мен есеп беруді ұсынудың бірыңғай стандартын ескере отырып, Экономикалық ынтымақтастық және даму ұйымы (бұдан әрі – ЭЫДҰ Бірыңғай есеп беру стандарты) келесі ақпаратты:</w:t>
      </w:r>
    </w:p>
    <w:p w:rsidR="00E9519B" w:rsidRPr="00212AD2" w:rsidRDefault="00E9519B" w:rsidP="00E9519B">
      <w:pPr>
        <w:spacing w:after="0" w:line="240" w:lineRule="auto"/>
        <w:ind w:firstLine="709"/>
        <w:jc w:val="both"/>
        <w:rPr>
          <w:sz w:val="28"/>
          <w:szCs w:val="28"/>
          <w:lang w:val="ru-RU"/>
        </w:rPr>
      </w:pPr>
      <w:r w:rsidRPr="00212AD2">
        <w:rPr>
          <w:sz w:val="28"/>
          <w:szCs w:val="28"/>
          <w:lang w:val="ru-RU"/>
        </w:rPr>
        <w:t>1) резидент емес жеке тұлғалармен, резидент емес заңды тұлғалармен, бенефициарлары резидент еместер болып табылатын заңды тұлғалармен жасалған шарттар бойынша ашылған бағалы қағаздарды және басқа да қаржы құралдарын есепке алу үшін жеке шоттардың болуы, сондай-ақ осы шоттардағы бағалы қағаздар мен өзге де қаржы құралдарының қалдықтары туралы;</w:t>
      </w:r>
    </w:p>
    <w:p w:rsidR="00E9519B" w:rsidRPr="00212AD2" w:rsidRDefault="006303C4" w:rsidP="00E9519B">
      <w:pPr>
        <w:pStyle w:val="ab"/>
        <w:spacing w:before="0" w:beforeAutospacing="0" w:after="0" w:afterAutospacing="0"/>
        <w:ind w:firstLine="709"/>
        <w:jc w:val="both"/>
        <w:rPr>
          <w:sz w:val="28"/>
          <w:szCs w:val="28"/>
        </w:rPr>
      </w:pPr>
      <w:r w:rsidRPr="00212AD2">
        <w:rPr>
          <w:rFonts w:eastAsiaTheme="minorEastAsia"/>
          <w:color w:val="000000" w:themeColor="text1"/>
          <w:sz w:val="28"/>
          <w:szCs w:val="28"/>
        </w:rPr>
        <w:t>2) шоттардың болуы, олардың нөмірлері, осы шоттардағы ақша қаражаттарының қалдықтары туралы, сондай-ақ резидент емес жеке тұлғалардың, резидент емес заңды тұлғалардың, бенефициарлары резидент еместер болып табылатын заңды тұлғалардың шоттарында орналастырылған немесе басқарылатын өзге де мүліктің, оның ішінде басқа да мүліктің болуы, түрі мен құны туралы мәліметтер;</w:t>
      </w:r>
    </w:p>
    <w:p w:rsidR="00E9519B" w:rsidRPr="00212AD2" w:rsidRDefault="006303C4" w:rsidP="00E9519B">
      <w:pPr>
        <w:spacing w:after="0" w:line="240" w:lineRule="auto"/>
        <w:ind w:firstLine="709"/>
        <w:jc w:val="both"/>
        <w:rPr>
          <w:lang w:val="ru-RU"/>
        </w:rPr>
      </w:pPr>
      <w:r w:rsidRPr="00212AD2">
        <w:rPr>
          <w:color w:val="000000"/>
          <w:sz w:val="28"/>
          <w:lang w:val="ru-RU"/>
        </w:rPr>
        <w:t>3) резидент емес жеке тұлғаларға, резидент емес заңды тұлғаларға, сондай-ақ бенефициарлары резидент еместер болып табылатын заңды тұлғаларға тиесілі бағалы қағаздарды қоспағанда, өзге де мүліктің болуы туралы;</w:t>
      </w:r>
    </w:p>
    <w:p w:rsidR="00E9519B" w:rsidRPr="00212AD2" w:rsidRDefault="006303C4" w:rsidP="00E9519B">
      <w:pPr>
        <w:spacing w:after="0" w:line="240" w:lineRule="auto"/>
        <w:ind w:firstLine="709"/>
        <w:jc w:val="both"/>
        <w:rPr>
          <w:lang w:val="ru-RU"/>
        </w:rPr>
      </w:pPr>
      <w:r w:rsidRPr="00212AD2">
        <w:rPr>
          <w:color w:val="000000"/>
          <w:sz w:val="28"/>
          <w:lang w:val="ru-RU"/>
        </w:rPr>
        <w:t>4) ақпарат алмасу туралы халықаралық шартқа сәйкес жіберілген шет мемлекеттің уәкілетті органының сұрау салуында көрсетілген жеке және заңды тұлғаларға тиесілі, сондай-ақ осындай тұлғалардың жеке немесе заңды тұлғамен жасасқан шартына байланысты өзге де мәліметтерді қоспағанда, осы тармақтың 2) тармақшасында көрсетілгендерді қоспағанда, өзге де мүліктің болуы туралы.</w:t>
      </w:r>
    </w:p>
    <w:p w:rsidR="00E9519B" w:rsidRPr="00212AD2" w:rsidRDefault="006303C4" w:rsidP="00E9519B">
      <w:pPr>
        <w:spacing w:after="0" w:line="240" w:lineRule="auto"/>
        <w:ind w:firstLine="709"/>
        <w:jc w:val="both"/>
        <w:rPr>
          <w:sz w:val="28"/>
          <w:szCs w:val="28"/>
          <w:lang w:val="ru-RU"/>
        </w:rPr>
      </w:pPr>
      <w:r w:rsidRPr="00212AD2">
        <w:rPr>
          <w:sz w:val="28"/>
          <w:szCs w:val="28"/>
          <w:lang w:val="ru-RU"/>
        </w:rPr>
        <w:t>5) бенефициарлары резидент емес жеке тұлғалар болып табылатын жасалған сақтандыру шарттары бойынша;</w:t>
      </w:r>
    </w:p>
    <w:p w:rsidR="00E9519B" w:rsidRPr="00212AD2" w:rsidRDefault="006303C4" w:rsidP="00E9519B">
      <w:pPr>
        <w:spacing w:after="0" w:line="240" w:lineRule="auto"/>
        <w:ind w:firstLine="709"/>
        <w:jc w:val="both"/>
        <w:rPr>
          <w:lang w:val="ru-RU"/>
        </w:rPr>
      </w:pPr>
      <w:r w:rsidRPr="00212AD2">
        <w:rPr>
          <w:color w:val="000000"/>
          <w:sz w:val="28"/>
          <w:lang w:val="ru-RU"/>
        </w:rPr>
        <w:t>6) бенефициарлары шет мемлекеттің уәкілетті органының ақпарат алмасу туралы халықаралық шартқа сәйкес жіберілген сұрау салуында көрсетілген жеке тұлғалар болып табылатын, жасалған эндаументті сақтандыру шарттары бойынша, сондай-ақ осы эндаументті сақтандыру шарттарына қатысты өзге де мәліметтер.</w:t>
      </w:r>
    </w:p>
    <w:p w:rsidR="00E9519B" w:rsidRPr="00212AD2" w:rsidRDefault="006303C4" w:rsidP="00E9519B">
      <w:pPr>
        <w:spacing w:after="0" w:line="240" w:lineRule="auto"/>
        <w:ind w:firstLine="708"/>
        <w:jc w:val="both"/>
        <w:rPr>
          <w:lang w:val="ru-RU"/>
        </w:rPr>
      </w:pPr>
      <w:r w:rsidRPr="00212AD2">
        <w:rPr>
          <w:color w:val="000000"/>
          <w:sz w:val="28"/>
          <w:lang w:val="ru-RU"/>
        </w:rPr>
        <w:lastRenderedPageBreak/>
        <w:t>7) банктік шоттардың және олардың нөмірлерінің бар-жоғы туралы, осы шоттардағы ақша қалдықтары туралы, өзге де мүліктің, оның ішінде металл шоттарда орналастырылған немесе басқаруындағы бейрезидент жеке тұлғалардың, бейрезидент заңды тұлғалардың, бенефициарлары болып табылатын заңды тұлғалардың, оның ішінде:</w:t>
      </w:r>
    </w:p>
    <w:p w:rsidR="00E9519B" w:rsidRPr="00212AD2" w:rsidRDefault="00E9519B" w:rsidP="00E9519B">
      <w:pPr>
        <w:spacing w:after="0" w:line="240" w:lineRule="auto"/>
        <w:ind w:firstLine="708"/>
        <w:jc w:val="both"/>
        <w:rPr>
          <w:sz w:val="28"/>
          <w:szCs w:val="28"/>
          <w:lang w:val="ru-RU"/>
        </w:rPr>
      </w:pPr>
      <w:r w:rsidRPr="00212AD2">
        <w:rPr>
          <w:sz w:val="28"/>
          <w:szCs w:val="28"/>
          <w:lang w:val="ru-RU"/>
        </w:rPr>
        <w:t>резидент емес жеке тұлға, бейрезидент заңды тұлға немесе бенефициарлық иесі резидент емес болып табылатын заңды тұлға кастодиандық, брокерлік және/немесе дилерлік қызмет аясында ашқан шот үшін:</w:t>
      </w:r>
    </w:p>
    <w:p w:rsidR="00E9519B" w:rsidRPr="00212AD2" w:rsidRDefault="00E9519B" w:rsidP="00E9519B">
      <w:pPr>
        <w:spacing w:after="0" w:line="240" w:lineRule="auto"/>
        <w:ind w:firstLine="708"/>
        <w:jc w:val="both"/>
        <w:rPr>
          <w:sz w:val="28"/>
          <w:szCs w:val="28"/>
          <w:lang w:val="ru-RU"/>
        </w:rPr>
      </w:pPr>
      <w:r w:rsidRPr="00212AD2">
        <w:rPr>
          <w:sz w:val="28"/>
          <w:szCs w:val="28"/>
          <w:lang w:val="ru-RU"/>
        </w:rPr>
        <w:t>сыйақылардың жалпы жалпы сомасы, дивидендтердің жалпы жалпы сомасы және әрбір жағдайда тиісті есепті кезеңде шотқа төленген немесе есепке алынған немесе оған қатысты шоттағы активтер бойынша алынған басқа да кірістердің жалпы жалпы сомасы;</w:t>
      </w:r>
    </w:p>
    <w:p w:rsidR="00E9519B" w:rsidRPr="00546132" w:rsidRDefault="00E9519B" w:rsidP="00E9519B">
      <w:pPr>
        <w:spacing w:after="0" w:line="240" w:lineRule="auto"/>
        <w:ind w:firstLine="708"/>
        <w:jc w:val="both"/>
        <w:rPr>
          <w:sz w:val="28"/>
          <w:szCs w:val="28"/>
          <w:lang w:val="ru-RU"/>
        </w:rPr>
      </w:pPr>
      <w:r w:rsidRPr="00212AD2">
        <w:rPr>
          <w:sz w:val="28"/>
          <w:szCs w:val="28"/>
          <w:lang w:val="ru-RU"/>
        </w:rPr>
        <w:t>Қазақстан Республикасының қаржы институты оларға қатысты бағалы қағаздардың номиналды ұстаушысы ретінде клиенттік шоттарды жүргізу құқығымен кастодиан, брокер және (немесе) дилер ретінде әрекет еткен күнтізбелік жыл немесе өзге де есепті кезеңде алынған қаржы активтерін сатудан немесе өтеуден түскен жалпы түсім;</w:t>
      </w:r>
    </w:p>
    <w:p w:rsidR="00212AD2" w:rsidRDefault="00E9519B" w:rsidP="009D062E">
      <w:pPr>
        <w:spacing w:after="0" w:line="240" w:lineRule="auto"/>
        <w:ind w:firstLine="709"/>
        <w:jc w:val="both"/>
        <w:rPr>
          <w:sz w:val="28"/>
          <w:szCs w:val="28"/>
          <w:lang w:val="ru-RU"/>
        </w:rPr>
      </w:pPr>
      <w:r w:rsidRPr="00546132">
        <w:rPr>
          <w:sz w:val="28"/>
          <w:szCs w:val="28"/>
          <w:lang w:val="ru-RU"/>
        </w:rPr>
        <w:t>күнтізбелік жыл немесе тиісті есепті кезеңде төленген сыйақының жалпы жалпы сомасы;</w:t>
      </w:r>
    </w:p>
    <w:p w:rsidR="009D062E" w:rsidRDefault="004A13AA" w:rsidP="009D062E">
      <w:pPr>
        <w:spacing w:after="0" w:line="240" w:lineRule="auto"/>
        <w:ind w:firstLine="709"/>
        <w:jc w:val="both"/>
        <w:rPr>
          <w:sz w:val="28"/>
          <w:szCs w:val="28"/>
          <w:lang w:val="ru-RU"/>
        </w:rPr>
      </w:pPr>
      <w:r>
        <w:rPr>
          <w:sz w:val="28"/>
          <w:szCs w:val="28"/>
          <w:lang w:val="ru-RU"/>
        </w:rPr>
        <w:t>2. Қаржы ұйымымен (бұдан әрі – шот иесі) жасалған шартқа сәйкес шот ашқан бір жеке немесе заңды тұлғада бірнеше есеп беретін шот болған жағдайда мұндай әрбір шот бойынша жеке жол толтырылады.</w:t>
      </w:r>
    </w:p>
    <w:p w:rsidR="009D062E" w:rsidRPr="00E9519B" w:rsidRDefault="00212AD2" w:rsidP="009D062E">
      <w:pPr>
        <w:spacing w:after="0" w:line="240" w:lineRule="auto"/>
        <w:ind w:firstLine="709"/>
        <w:jc w:val="both"/>
        <w:rPr>
          <w:sz w:val="28"/>
          <w:szCs w:val="28"/>
          <w:lang w:val="ru-RU"/>
        </w:rPr>
      </w:pPr>
      <w:r>
        <w:rPr>
          <w:sz w:val="28"/>
          <w:szCs w:val="28"/>
          <w:lang w:val="ru-RU"/>
        </w:rPr>
        <w:t>3. Алфавиттік толтыруды талап ететін барлық жолдар мен бағандар ISO 8859 стандартына сәйкес транслитерацияны пайдалана отырып, тек латын тілінде толтырылуы тиіс.</w:t>
      </w:r>
    </w:p>
    <w:p w:rsidR="009D062E" w:rsidRPr="00E9519B" w:rsidRDefault="00212AD2" w:rsidP="009D062E">
      <w:pPr>
        <w:spacing w:after="0" w:line="240" w:lineRule="auto"/>
        <w:ind w:firstLine="709"/>
        <w:jc w:val="both"/>
        <w:rPr>
          <w:sz w:val="28"/>
          <w:szCs w:val="28"/>
          <w:lang w:val="ru-RU"/>
        </w:rPr>
      </w:pPr>
      <w:r>
        <w:rPr>
          <w:sz w:val="28"/>
          <w:szCs w:val="28"/>
          <w:lang w:val="ru-RU"/>
        </w:rPr>
        <w:t>4. Ел кодын көрсету кезінде пайдаланылатын код Халықаралық стандарттау ұйымының ISO 3166-1 Alpha 2 стандартына сәйкес келеді.</w:t>
      </w:r>
    </w:p>
    <w:p w:rsidR="009D062E" w:rsidRPr="00E9519B" w:rsidRDefault="00212AD2" w:rsidP="009D062E">
      <w:pPr>
        <w:spacing w:after="0" w:line="240" w:lineRule="auto"/>
        <w:ind w:firstLine="709"/>
        <w:jc w:val="both"/>
        <w:rPr>
          <w:sz w:val="28"/>
          <w:szCs w:val="28"/>
          <w:lang w:val="ru-RU"/>
        </w:rPr>
      </w:pPr>
      <w:r>
        <w:rPr>
          <w:sz w:val="28"/>
          <w:szCs w:val="28"/>
          <w:lang w:val="ru-RU"/>
        </w:rPr>
        <w:t>5. Валюта кодын көрсету кезінде қолданылатын код Халықаралық стандарттау ұйымының ISO 4217 стандартына сәйкес келеді.</w:t>
      </w:r>
    </w:p>
    <w:p w:rsidR="00E9519B" w:rsidRPr="00E9519B" w:rsidRDefault="00E9519B" w:rsidP="00E9519B">
      <w:pPr>
        <w:spacing w:after="0" w:line="240" w:lineRule="auto"/>
        <w:ind w:firstLine="709"/>
        <w:jc w:val="both"/>
        <w:rPr>
          <w:color w:val="000000"/>
          <w:sz w:val="28"/>
          <w:szCs w:val="28"/>
          <w:lang w:val="ru-RU"/>
        </w:rPr>
      </w:pPr>
    </w:p>
    <w:p w:rsidR="004A13AA" w:rsidRDefault="004A13AA" w:rsidP="00B106A9">
      <w:pPr>
        <w:spacing w:after="0" w:line="240" w:lineRule="auto"/>
        <w:ind w:firstLine="709"/>
        <w:jc w:val="center"/>
        <w:rPr>
          <w:b/>
          <w:sz w:val="28"/>
          <w:szCs w:val="28"/>
          <w:lang w:val="ru-RU"/>
        </w:rPr>
      </w:pPr>
    </w:p>
    <w:p w:rsidR="00B106A9" w:rsidRPr="00E9519B" w:rsidRDefault="00B106A9" w:rsidP="00B106A9">
      <w:pPr>
        <w:spacing w:after="0" w:line="240" w:lineRule="auto"/>
        <w:ind w:firstLine="709"/>
        <w:jc w:val="center"/>
        <w:rPr>
          <w:b/>
          <w:sz w:val="28"/>
          <w:szCs w:val="28"/>
          <w:lang w:val="ru-RU"/>
        </w:rPr>
      </w:pPr>
      <w:r w:rsidRPr="00E9519B">
        <w:rPr>
          <w:b/>
          <w:sz w:val="28"/>
          <w:szCs w:val="28"/>
          <w:lang w:val="ru-RU"/>
        </w:rPr>
        <w:t>2-тарау. 026.00 нысанын толтыру тәртібі</w:t>
      </w:r>
    </w:p>
    <w:p w:rsidR="00B106A9" w:rsidRPr="00425A9B" w:rsidRDefault="00B106A9" w:rsidP="00B106A9">
      <w:pPr>
        <w:spacing w:after="0" w:line="240" w:lineRule="auto"/>
        <w:ind w:firstLine="709"/>
        <w:jc w:val="center"/>
        <w:rPr>
          <w:b/>
          <w:sz w:val="28"/>
          <w:szCs w:val="28"/>
          <w:lang w:val="ru-RU"/>
        </w:rPr>
      </w:pPr>
    </w:p>
    <w:p w:rsidR="00B106A9" w:rsidRPr="00E9519B" w:rsidRDefault="00212AD2" w:rsidP="00B106A9">
      <w:pPr>
        <w:spacing w:after="0" w:line="240" w:lineRule="auto"/>
        <w:ind w:firstLine="709"/>
        <w:jc w:val="both"/>
        <w:rPr>
          <w:sz w:val="28"/>
          <w:szCs w:val="28"/>
          <w:lang w:val="ru-RU"/>
        </w:rPr>
      </w:pPr>
      <w:r>
        <w:rPr>
          <w:sz w:val="28"/>
          <w:szCs w:val="28"/>
          <w:lang w:val="ru-RU"/>
        </w:rPr>
        <w:t>6. Нысанның «Жалпы ақпарат» бөлімінде мынадай ақпарат көрсетіледі:</w:t>
      </w:r>
    </w:p>
    <w:p w:rsidR="00B106A9" w:rsidRPr="00E9519B" w:rsidRDefault="00B106A9" w:rsidP="00B106A9">
      <w:pPr>
        <w:spacing w:after="0" w:line="240" w:lineRule="auto"/>
        <w:ind w:firstLine="708"/>
        <w:jc w:val="both"/>
        <w:rPr>
          <w:sz w:val="28"/>
          <w:szCs w:val="28"/>
          <w:lang w:val="ru-RU"/>
        </w:rPr>
      </w:pPr>
      <w:r w:rsidRPr="00E9519B">
        <w:rPr>
          <w:sz w:val="28"/>
          <w:szCs w:val="28"/>
          <w:lang w:val="ru-RU"/>
        </w:rPr>
        <w:t>1) 1-жолда нысанның түрі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Есепті кезеңде жаңа деректерді алғаш рет ұсынған кезде «негізгі» ұяшыққа белгі қойылады немесе егер ақпарат бұрын ұсынылған ақпаратты түзету үшін уәкілетті органның талабы бойынша ұсынылса, онда ақпарат негізгі ақпарат ретінде түзетілген мәліметтермен бірге ұсынылады және «түзетілген» ұяшығына белгі қойылады.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Комитеттің сұрауы Комитеттің ақпараттық жүйесі арқылы жіберіледі.</w:t>
      </w:r>
    </w:p>
    <w:p w:rsidR="00B106A9" w:rsidRPr="00E9519B" w:rsidRDefault="009D062E" w:rsidP="00B106A9">
      <w:pPr>
        <w:spacing w:after="0" w:line="240" w:lineRule="auto"/>
        <w:ind w:firstLine="709"/>
        <w:jc w:val="both"/>
        <w:rPr>
          <w:sz w:val="28"/>
          <w:szCs w:val="28"/>
          <w:lang w:val="ru-RU"/>
        </w:rPr>
      </w:pPr>
      <w:r>
        <w:rPr>
          <w:sz w:val="28"/>
          <w:szCs w:val="28"/>
          <w:lang w:val="ru-RU"/>
        </w:rPr>
        <w:t>Есеп беретін ақпараты жоқ есеп беретін қаржы институттары «есеп беретін шоттар жоқ» құсбелгісін қойып, тек «Жалпы ақпарат» бөлімін толтырыңыз;</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2) 2-жолда алдыңғы есептің тіркеу нөмірі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lastRenderedPageBreak/>
        <w:t>Бұл жол жойылуға жататын алдыңғы ақпаратты анықтау үшін түзетілген ақпаратты беру кезінде толтырылады;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3) 3-жолда ақпарат ұсынылатын есепті кезең (күн, ай, жыл) көрсетіледі (араб цифрларымен көрсетіледі).</w:t>
      </w:r>
    </w:p>
    <w:p w:rsidR="00B106A9" w:rsidRPr="00E9519B" w:rsidRDefault="00212AD2" w:rsidP="00B106A9">
      <w:pPr>
        <w:spacing w:after="0" w:line="240" w:lineRule="auto"/>
        <w:ind w:firstLine="709"/>
        <w:jc w:val="both"/>
        <w:rPr>
          <w:sz w:val="28"/>
          <w:szCs w:val="28"/>
          <w:lang w:val="ru-RU"/>
        </w:rPr>
      </w:pPr>
      <w:r>
        <w:rPr>
          <w:sz w:val="28"/>
          <w:szCs w:val="28"/>
          <w:lang w:val="ru-RU"/>
        </w:rPr>
        <w:t>7. Нысанның «Қаржы ұйымы туралы ақпарат» бөлімінде мынадай мәліметтер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1) нысанның 4-жолында ақпаратты ұсынатын есеп беретін қаржы ұйымының бизнес-сәйкестендіру нөмірі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2) нысанның 5-жолында құрылтайшылық және өзге де құжаттарға сәйкес есеп беретін қаржы ұйымының атауы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3) нысанның 6-жолында орналасқан жердің мекенжайы (пошталық мекенжайы)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Егер есеп беретін қаржы ұйымының пошта байланысы поштаны көше мекенжайына жеткізбесе және есеп беретін қаржы ұйымының пошталық индексі болса, көше мекенжайының орнына пошталық индекс нөмірі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Нысанның «Мәліметтерді ұсынған тұлғаның Т.А.Ә.» жолында есеп беретін қаржы ұйымының уәкілетті тұлғасының тегі, аты, әкесінің аты (жеке басын куәландыратын құжатта көрсетілсе) (бұдан әрі – Т.А.)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Нысанның «Жіберу күні» жолында уәкілетті органға ақпаратты ұсыну күні көрсетіледі.</w:t>
      </w:r>
    </w:p>
    <w:p w:rsidR="00B106A9" w:rsidRPr="00E9519B" w:rsidRDefault="00212AD2" w:rsidP="00B106A9">
      <w:pPr>
        <w:spacing w:after="0" w:line="240" w:lineRule="auto"/>
        <w:ind w:firstLine="709"/>
        <w:jc w:val="both"/>
        <w:rPr>
          <w:sz w:val="28"/>
          <w:szCs w:val="28"/>
          <w:lang w:val="ru-RU"/>
        </w:rPr>
      </w:pPr>
      <w:r>
        <w:rPr>
          <w:sz w:val="28"/>
          <w:szCs w:val="28"/>
          <w:lang w:val="ru-RU"/>
        </w:rPr>
        <w:t>8. Мемлекеттік кірістер органына ұсынылған шот иесі туралы мәліметтерді көрсету үшін нысанның «Шот иесі туралы ақпарат» бөлімі толтырылады: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1) нысанның А бағанында 0001 форматында жолдың реттік нөмірі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2) нысанның В бағанында шот иесінің санат коды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заңды тұлғалар үшін – 1;</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жеке тұлғалар үшін – 2;</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3) нысанның С бағанында жеке шот иесінің аты-жөні және толық атауы немесе егер В бағанында заңды тұлға көрсетілген болса, заңды тұлғаның шот иесінің атауы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4) нысанның D бағанында, егер В бағанында жеке тұлға көрсетілген болса, күн-ай-жыл форматында жеке шот иесінің туған күні көрсетіледі;</w:t>
      </w:r>
    </w:p>
    <w:p w:rsidR="00B106A9" w:rsidRPr="00546132" w:rsidRDefault="00B106A9" w:rsidP="00B106A9">
      <w:pPr>
        <w:spacing w:after="0" w:line="240" w:lineRule="auto"/>
        <w:ind w:firstLine="709"/>
        <w:jc w:val="both"/>
        <w:rPr>
          <w:color w:val="262626" w:themeColor="text1" w:themeTint="D9"/>
          <w:sz w:val="28"/>
          <w:szCs w:val="28"/>
          <w:lang w:val="ru-RU"/>
        </w:rPr>
      </w:pPr>
      <w:r w:rsidRPr="00E9519B">
        <w:rPr>
          <w:sz w:val="28"/>
          <w:szCs w:val="28"/>
          <w:lang w:val="ru-RU"/>
        </w:rPr>
        <w:t>5) бағанда</w:t>
      </w:r>
      <w:r w:rsidRPr="00546132">
        <w:rPr>
          <w:color w:val="262626" w:themeColor="text1" w:themeTint="D9"/>
          <w:sz w:val="28"/>
          <w:szCs w:val="28"/>
          <w:lang w:val="ru-RU"/>
        </w:rPr>
        <w:t>Е</w:t>
      </w:r>
      <w:r w:rsidR="00212AD2" w:rsidRPr="00E9519B">
        <w:rPr>
          <w:sz w:val="28"/>
          <w:szCs w:val="28"/>
          <w:lang w:val="ru-RU"/>
        </w:rPr>
        <w:t>пішіндер</w:t>
      </w:r>
      <w:r w:rsidRPr="00546132">
        <w:rPr>
          <w:color w:val="262626" w:themeColor="text1" w:themeTint="D9"/>
          <w:sz w:val="28"/>
          <w:szCs w:val="28"/>
          <w:lang w:val="ru-RU"/>
        </w:rPr>
        <w:t>шот иесі салық резиденті болып табылатын шет мемлекет (аумақ) берген шетелдік салық төлеушінің сәйкестендіру нөмірі (немесе оның баламасы) көрсетіледі</w:t>
      </w:r>
      <w:r w:rsidR="00FE68C1" w:rsidRPr="00546132">
        <w:rPr>
          <w:color w:val="262626" w:themeColor="text1" w:themeTint="D9"/>
          <w:sz w:val="28"/>
          <w:szCs w:val="28"/>
          <w:lang w:val="ru-RU"/>
        </w:rPr>
        <w:br/>
      </w:r>
      <w:r w:rsidR="009D062E" w:rsidRPr="00546132">
        <w:rPr>
          <w:color w:val="262626" w:themeColor="text1" w:themeTint="D9"/>
          <w:sz w:val="28"/>
          <w:szCs w:val="28"/>
          <w:lang w:val="ru-RU"/>
        </w:rPr>
        <w:t>шот иесінің (бұдан әрі – шетелдік сәйкестендіру нөмірі). Шетелдік сәйкестендіру нөмірі болмаса, бұл жол бос қалады;</w:t>
      </w:r>
    </w:p>
    <w:p w:rsidR="00B106A9" w:rsidRPr="00546132" w:rsidRDefault="00B106A9" w:rsidP="00B106A9">
      <w:pPr>
        <w:spacing w:after="0" w:line="240" w:lineRule="auto"/>
        <w:ind w:firstLine="709"/>
        <w:jc w:val="both"/>
        <w:rPr>
          <w:color w:val="262626" w:themeColor="text1" w:themeTint="D9"/>
          <w:sz w:val="28"/>
          <w:szCs w:val="28"/>
          <w:lang w:val="ru-RU"/>
        </w:rPr>
      </w:pPr>
      <w:r w:rsidRPr="00546132">
        <w:rPr>
          <w:color w:val="262626" w:themeColor="text1" w:themeTint="D9"/>
          <w:sz w:val="28"/>
          <w:szCs w:val="28"/>
          <w:lang w:val="ru-RU"/>
        </w:rPr>
        <w:t>6) F бағанында</w:t>
      </w:r>
      <w:r w:rsidR="00212AD2" w:rsidRPr="00E9519B">
        <w:rPr>
          <w:sz w:val="28"/>
          <w:szCs w:val="28"/>
          <w:lang w:val="ru-RU"/>
        </w:rPr>
        <w:t>пішіндер</w:t>
      </w:r>
      <w:r w:rsidRPr="00546132">
        <w:rPr>
          <w:color w:val="262626" w:themeColor="text1" w:themeTint="D9"/>
          <w:sz w:val="28"/>
          <w:szCs w:val="28"/>
          <w:lang w:val="ru-RU"/>
        </w:rPr>
        <w:t>шетелдік сәйкестендіру нөмірін берген елдің коды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7) нысанның G бағанында шот иесінің салық резиденттік елінің коды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8) Нысанның Н бағанында шот иесі – заңды тұлғаның түрі көрсетіледі; Бұл баған В бағанында заңды тұлға көрсетілген жағдайда толтырылады және заңды тұлға түріне байланысты келесі мәндер толтырылады: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lastRenderedPageBreak/>
        <w:t>«CRS 101 – Есеп беретін юрисдикцияның тұлғалары болып табылатын және «Қылмыстық жолмен алынған кірістерді заңдастыруға (жылыстатуға) және терроризмді қаржыландыруға қарсы күрес туралы» Қазақстан Республикасының Заңына сәйкес келетін бір немесе бірнеше бақылаушы тұлғалары бар пассивті қаржылық емес ұйым.</w:t>
      </w:r>
    </w:p>
    <w:p w:rsidR="004A13AA" w:rsidRDefault="00FE68C1" w:rsidP="00FE68C1">
      <w:pPr>
        <w:spacing w:after="0" w:line="240" w:lineRule="auto"/>
        <w:ind w:firstLine="709"/>
        <w:jc w:val="both"/>
        <w:rPr>
          <w:sz w:val="28"/>
          <w:szCs w:val="28"/>
          <w:lang w:val="ru-RU"/>
        </w:rPr>
      </w:pPr>
      <w:r>
        <w:rPr>
          <w:sz w:val="28"/>
          <w:szCs w:val="28"/>
          <w:lang w:val="ru-RU"/>
        </w:rPr>
        <w:t>Бұл жағдайда:</w:t>
      </w:r>
    </w:p>
    <w:p w:rsidR="00FE68C1" w:rsidRDefault="004A13AA" w:rsidP="00FE68C1">
      <w:pPr>
        <w:spacing w:after="0" w:line="240" w:lineRule="auto"/>
        <w:ind w:firstLine="709"/>
        <w:jc w:val="both"/>
        <w:rPr>
          <w:sz w:val="28"/>
          <w:szCs w:val="28"/>
          <w:lang w:val="ru-RU"/>
        </w:rPr>
      </w:pPr>
      <w:r>
        <w:rPr>
          <w:sz w:val="28"/>
          <w:szCs w:val="28"/>
          <w:lang w:val="ru-RU"/>
        </w:rPr>
        <w:t>1) белсенді қаржылық емес ұйым критерийлеріне сәйкес келмейтін ұйым немесе инвестициялық ұйым болып табылмайтын ұйым пассивті қаржылық емес ұйым болып табылады.</w:t>
      </w:r>
    </w:p>
    <w:p w:rsidR="00FE68C1" w:rsidRDefault="004A13AA" w:rsidP="00FE68C1">
      <w:pPr>
        <w:spacing w:after="0" w:line="240" w:lineRule="auto"/>
        <w:ind w:firstLine="709"/>
        <w:jc w:val="both"/>
        <w:rPr>
          <w:sz w:val="28"/>
          <w:szCs w:val="28"/>
          <w:lang w:val="ru-RU"/>
        </w:rPr>
      </w:pPr>
      <w:r>
        <w:rPr>
          <w:sz w:val="28"/>
          <w:szCs w:val="28"/>
          <w:lang w:val="ru-RU"/>
        </w:rPr>
        <w:t>2) белсенді қаржылық емес тұлға – Конвенцияның 6-бабын (бұдан әрі – А) іске асыру шеңберінде қабылданған 2014 жылғы 29 қазандағы Құзыретті органдардың Қаржы шоты туралы ақпаратты автоматты түрде алмасу туралы көпжақты келісімінде белсенді қаржылық емес тұлға анықтамасында көрсетілген кез келген критерийлерге сәйкес келетін субъект (бұдан әрі – А);</w:t>
      </w:r>
    </w:p>
    <w:p w:rsidR="00FE68C1" w:rsidRPr="00E9519B" w:rsidRDefault="004A13AA" w:rsidP="00FE68C1">
      <w:pPr>
        <w:spacing w:after="0" w:line="240" w:lineRule="auto"/>
        <w:ind w:firstLine="709"/>
        <w:jc w:val="both"/>
        <w:rPr>
          <w:sz w:val="28"/>
          <w:szCs w:val="28"/>
          <w:lang w:val="ru-RU"/>
        </w:rPr>
      </w:pPr>
      <w:r>
        <w:rPr>
          <w:sz w:val="28"/>
          <w:szCs w:val="28"/>
          <w:lang w:val="ru-RU"/>
        </w:rPr>
        <w:t>3) есеп беретін юрисдикция – Келісімге қол қойған және уәкілетті органның ресми интернет-ресурсында орналастырылған және кез келген өзгерістерді көрсететін есеп беретін юрисдикциялар тізбесіне енгізілген шет мемлекет (аумақ);</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CRS 102 – Келісімнің мақсаттары үшін жауапты тұлға;</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CRS 103 – Келісімнің мақсаттары үшін есеп беретін ұйым болып табылатын пассивті қаржылық емес ұйым;</w:t>
      </w:r>
    </w:p>
    <w:p w:rsidR="00B106A9" w:rsidRPr="00E9519B" w:rsidRDefault="00B106A9" w:rsidP="00B106A9">
      <w:pPr>
        <w:spacing w:after="0" w:line="240" w:lineRule="auto"/>
        <w:ind w:firstLine="709"/>
        <w:jc w:val="both"/>
        <w:rPr>
          <w:sz w:val="28"/>
          <w:szCs w:val="28"/>
          <w:lang w:val="ru-RU"/>
        </w:rPr>
      </w:pPr>
      <w:r w:rsidRPr="00546132">
        <w:rPr>
          <w:sz w:val="28"/>
          <w:szCs w:val="28"/>
          <w:lang w:val="ru-RU"/>
        </w:rPr>
        <w:t>9) Нысанның I жолында елдің коды, жердің (облыстың, облыстың, республикалық маңызы бар қаланың) атауы, ауданның/қаланың, көшенің атауы, үй/ғимарат нөмірі, қабат нөмірі, кеңсе нөмірі, пошталық индекс көрсетіледі. Мекенжай шот иесінің тұрақты тұрғылықты жерін көрсетеді. Есеп беретін қаржы ұйымының мұндай мекенжайы болмаған жағдайда, есеп беруші қаржы ұйымының шот иесімен байланысу үшін пайдаланатын пошталық мекенжайы көрсетіледі.</w:t>
      </w:r>
    </w:p>
    <w:p w:rsidR="00B106A9" w:rsidRPr="00E9519B" w:rsidRDefault="00212AD2" w:rsidP="00B106A9">
      <w:pPr>
        <w:spacing w:after="0" w:line="240" w:lineRule="auto"/>
        <w:ind w:firstLine="709"/>
        <w:jc w:val="both"/>
        <w:rPr>
          <w:sz w:val="28"/>
          <w:szCs w:val="28"/>
          <w:lang w:val="ru-RU"/>
        </w:rPr>
      </w:pPr>
      <w:r>
        <w:rPr>
          <w:sz w:val="28"/>
          <w:szCs w:val="28"/>
          <w:lang w:val="ru-RU"/>
        </w:rPr>
        <w:t>9. Нысанның «Бенефициарлық меншік иесі немесе бақылаушы тұлға туралы ақпарат» бөлімі «Шот иесі туралы ақпарат» бөлімінің С бағанында көрсетілген пассивті қаржылық емес ұйымның бенефициар иесі немесе бақылаушы тұлғасы туралы ақпаратты ұсыну үшін толтырылады: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1) нысанның J бағанында заңды тұлғаның атауы және бенефициарлық меншік иесінің немесе бақылаушы тұлғаның толық атауы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2) нысанның К бағанында жеке тұлғаның туған күні, егер J бағанында жеке тұлға көрсетілген болса, күн-ай-жыл форматында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3) нысанның L бағанында ол көрсетіледі</w:t>
      </w:r>
      <w:r w:rsidR="00FE68C1" w:rsidRPr="00546132">
        <w:rPr>
          <w:color w:val="262626" w:themeColor="text1" w:themeTint="D9"/>
          <w:sz w:val="28"/>
          <w:szCs w:val="28"/>
          <w:lang w:val="ru-RU"/>
        </w:rPr>
        <w:t>шетелдік сәйкестендіру нөмірі</w:t>
      </w:r>
      <w:r w:rsidRPr="00E9519B">
        <w:rPr>
          <w:sz w:val="28"/>
          <w:szCs w:val="28"/>
          <w:lang w:val="ru-RU"/>
        </w:rPr>
        <w:t>шот иесі;</w:t>
      </w:r>
    </w:p>
    <w:p w:rsidR="00B106A9" w:rsidRPr="00546132" w:rsidRDefault="00B106A9" w:rsidP="00B106A9">
      <w:pPr>
        <w:spacing w:after="0" w:line="240" w:lineRule="auto"/>
        <w:ind w:firstLine="709"/>
        <w:jc w:val="both"/>
        <w:rPr>
          <w:color w:val="262626" w:themeColor="text1" w:themeTint="D9"/>
          <w:sz w:val="28"/>
          <w:szCs w:val="28"/>
          <w:lang w:val="ru-RU"/>
        </w:rPr>
      </w:pPr>
      <w:r w:rsidRPr="00E9519B">
        <w:rPr>
          <w:sz w:val="28"/>
          <w:szCs w:val="28"/>
          <w:lang w:val="ru-RU"/>
        </w:rPr>
        <w:t>4) нысанның М бағанында эмитент елінің коды көрсетіледі</w:t>
      </w:r>
      <w:r w:rsidR="00FE68C1" w:rsidRPr="00546132">
        <w:rPr>
          <w:color w:val="262626" w:themeColor="text1" w:themeTint="D9"/>
          <w:sz w:val="28"/>
          <w:szCs w:val="28"/>
          <w:lang w:val="ru-RU"/>
        </w:rPr>
        <w:t>шетелдік сәйкестендіру нөмірі;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5) нысанның N бағанында шот иесінің резиденттік елінің коды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6) Нысанның О жолында мекенжай (облыс, облыс, республикалық маңызы бар қала), аудан/қала, көше атауы, үй/ғимарат нөмірі, қабат нөмірі, кеңсе, пошталық индекс көрсетіледі. Мекенжай бенефициарлық меншік иесінің немесе </w:t>
      </w:r>
      <w:r w:rsidRPr="00E9519B">
        <w:rPr>
          <w:sz w:val="28"/>
          <w:szCs w:val="28"/>
          <w:lang w:val="ru-RU"/>
        </w:rPr>
        <w:lastRenderedPageBreak/>
        <w:t>бақылаушы тұлғаның тұрақты тұрғылықты жерін білдіреді. Есеп беретін қаржы ұйымының мұндай мекенжайы болмаған жағдайда, есеп беруші қаржы ұйымының бенефициарлық меншік иесімен немесе бақылаушы тұлғамен байланысу үшін пайдаланатын пошталық мекенжайы көрсетіледі.</w:t>
      </w:r>
    </w:p>
    <w:p w:rsidR="00B106A9" w:rsidRPr="00E9519B" w:rsidRDefault="00212AD2" w:rsidP="00B106A9">
      <w:pPr>
        <w:spacing w:after="0" w:line="240" w:lineRule="auto"/>
        <w:ind w:firstLine="709"/>
        <w:jc w:val="both"/>
        <w:rPr>
          <w:sz w:val="28"/>
          <w:szCs w:val="28"/>
          <w:lang w:val="ru-RU"/>
        </w:rPr>
      </w:pPr>
      <w:r>
        <w:rPr>
          <w:sz w:val="28"/>
          <w:szCs w:val="28"/>
          <w:lang w:val="ru-RU"/>
        </w:rPr>
        <w:t>10. Нысанның «Қаржылық ақпарат» бөлімі есеп беретін шотқа қатысты қаржылық ақпаратты көрсету үшін толтырылады: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1) Нысанның P бағанында шот нөмірі көрсетіледі. Шот нөмірі есеп беретін қаржы институтымен берілген сәйкестендіру нөмірі болып табылады. Егер қаржы институтында нөмірлеу жүйесі болмаса, онда "NANUM" (қолданылуы мүмкін емес – нөмір жоқ)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2) нысанның Q бағанында нысанның S, T, U, V, W бағандарында көрсетілген валюта коды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3) егер «Қаржылық ақпарат» бөлімінде көрсетілген шот күнтізбелік жыл ішінде жабылған болса, нысанның R бағанында белгі қойылады;</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4) Нысанның S бағанында күнтізбелік жылдың соңындағы немесе, егер шот осы кезеңде жабылған болса, жабу кезіндегі шоттың қалдығы немесе құны көрсетіледі. Өмірді сақтандыру ұйымы толтырған кезде жыл соңындағы сақтандыру шарты бойынша келмеген залалдардың жинақталған резерві немесе шарт бұзылған жағдайда, тоқтатылған күнгі бас тарту құнының сомасы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5) нысанның T бағанында төленген дивидендтердің жалпы жалпы сомасы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6) нысанның U бағанында тиісті шот бойынша есеп беретін қаржы институты төлеген сыйақының (мүдденің) жалпы сомасы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7) нысанның V бағанында активті сатудан немесе кері сатып алудан түскен жиынтық жалпы түсім көрсетіледі;</w:t>
      </w:r>
    </w:p>
    <w:p w:rsidR="00B106A9" w:rsidRPr="00E9519B" w:rsidRDefault="00B106A9" w:rsidP="00B106A9">
      <w:pPr>
        <w:spacing w:after="0" w:line="240" w:lineRule="auto"/>
        <w:ind w:firstLine="709"/>
        <w:jc w:val="both"/>
        <w:rPr>
          <w:sz w:val="28"/>
          <w:szCs w:val="28"/>
          <w:lang w:val="ru-RU"/>
        </w:rPr>
      </w:pPr>
      <w:r w:rsidRPr="00E9519B">
        <w:rPr>
          <w:sz w:val="28"/>
          <w:szCs w:val="28"/>
          <w:lang w:val="ru-RU"/>
        </w:rPr>
        <w:t>8) нысанның W бағанында басқа кірістердің жиынтық жалпы сомасы көрсетіледі;</w:t>
      </w:r>
    </w:p>
    <w:p w:rsidR="000E026E" w:rsidRPr="00E9519B" w:rsidRDefault="00B106A9" w:rsidP="00212AD2">
      <w:pPr>
        <w:spacing w:after="0" w:line="240" w:lineRule="auto"/>
        <w:ind w:firstLine="709"/>
        <w:jc w:val="both"/>
        <w:rPr>
          <w:color w:val="000000"/>
          <w:sz w:val="28"/>
          <w:szCs w:val="28"/>
          <w:lang w:val="ru-RU"/>
        </w:rPr>
      </w:pPr>
      <w:r w:rsidRPr="00E9519B">
        <w:rPr>
          <w:sz w:val="28"/>
          <w:szCs w:val="28"/>
          <w:lang w:val="ru-RU"/>
        </w:rPr>
        <w:t>9) нысанның S, T, U, V бағандарын толтыру кезінде кірістің бірнеше түрін көрсетуге болады.</w:t>
      </w:r>
    </w:p>
    <w:sectPr w:rsidR="000E026E" w:rsidRPr="00E9519B" w:rsidSect="00C07680">
      <w:headerReference w:type="default" r:id="rId18"/>
      <w:headerReference w:type="first" r:id="rId19"/>
      <w:pgSz w:w="11906" w:h="16838"/>
      <w:pgMar w:top="1418" w:right="851" w:bottom="1135" w:left="1418"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B3F" w:rsidRDefault="00452B3F" w:rsidP="00393347">
      <w:pPr>
        <w:spacing w:after="0" w:line="240" w:lineRule="auto"/>
      </w:pPr>
      <w:r>
        <w:separator/>
      </w:r>
    </w:p>
  </w:endnote>
  <w:endnote w:type="continuationSeparator" w:id="0">
    <w:p w:rsidR="00452B3F" w:rsidRDefault="00452B3F" w:rsidP="0039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B3F" w:rsidRDefault="00452B3F" w:rsidP="00393347">
      <w:pPr>
        <w:spacing w:after="0" w:line="240" w:lineRule="auto"/>
      </w:pPr>
      <w:r>
        <w:separator/>
      </w:r>
    </w:p>
  </w:footnote>
  <w:footnote w:type="continuationSeparator" w:id="0">
    <w:p w:rsidR="00452B3F" w:rsidRDefault="00452B3F" w:rsidP="00393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894103"/>
      <w:docPartObj>
        <w:docPartGallery w:val="Page Numbers (Top of Page)"/>
        <w:docPartUnique/>
      </w:docPartObj>
    </w:sdtPr>
    <w:sdtEndPr/>
    <w:sdtContent>
      <w:p w:rsidR="00C07680" w:rsidRDefault="00C07680">
        <w:pPr>
          <w:pStyle w:val="a7"/>
          <w:jc w:val="center"/>
        </w:pPr>
        <w:r w:rsidRPr="00C07680">
          <w:rPr>
            <w:sz w:val="28"/>
          </w:rPr>
          <w:fldChar w:fldCharType="begin"/>
        </w:r>
        <w:r w:rsidRPr="00C07680">
          <w:rPr>
            <w:sz w:val="28"/>
          </w:rPr>
          <w:instrText>PAGE   \* MERGEFORMAT</w:instrText>
        </w:r>
        <w:r w:rsidRPr="00C07680">
          <w:rPr>
            <w:sz w:val="28"/>
          </w:rPr>
          <w:fldChar w:fldCharType="separate"/>
        </w:r>
        <w:r w:rsidR="001B7200" w:rsidRPr="001B7200">
          <w:rPr>
            <w:noProof/>
            <w:sz w:val="28"/>
            <w:lang w:val="ru-RU"/>
          </w:rPr>
          <w:t>20</w:t>
        </w:r>
        <w:r w:rsidRPr="00C07680">
          <w:rPr>
            <w:sz w:val="28"/>
          </w:rPr>
          <w:fldChar w:fldCharType="end"/>
        </w:r>
      </w:p>
    </w:sdtContent>
  </w:sdt>
  <w:p w:rsidR="00E9519B" w:rsidRPr="00943BEE" w:rsidRDefault="00E9519B">
    <w:pPr>
      <w:pStyle w:val="a7"/>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665375"/>
      <w:docPartObj>
        <w:docPartGallery w:val="Page Numbers (Top of Page)"/>
        <w:docPartUnique/>
      </w:docPartObj>
    </w:sdtPr>
    <w:sdtEndPr/>
    <w:sdtContent>
      <w:p w:rsidR="00E9519B" w:rsidRDefault="00E9519B">
        <w:pPr>
          <w:pStyle w:val="a7"/>
          <w:jc w:val="center"/>
        </w:pPr>
        <w:r>
          <w:fldChar w:fldCharType="begin"/>
        </w:r>
        <w:r>
          <w:instrText>PAGE   \* MERGEFORMAT</w:instrText>
        </w:r>
        <w:r>
          <w:fldChar w:fldCharType="separate"/>
        </w:r>
        <w:r w:rsidRPr="00943BEE">
          <w:rPr>
            <w:noProof/>
            <w:lang w:val="ru-RU"/>
          </w:rPr>
          <w:t>2</w:t>
        </w:r>
        <w:r>
          <w:fldChar w:fldCharType="end"/>
        </w:r>
      </w:p>
    </w:sdtContent>
  </w:sdt>
  <w:p w:rsidR="00E9519B" w:rsidRPr="00BA4478" w:rsidRDefault="00E9519B">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E"/>
    <w:rsid w:val="0001766F"/>
    <w:rsid w:val="0003197C"/>
    <w:rsid w:val="00044DE7"/>
    <w:rsid w:val="00047F31"/>
    <w:rsid w:val="00053DDE"/>
    <w:rsid w:val="000543C1"/>
    <w:rsid w:val="00054440"/>
    <w:rsid w:val="000553EA"/>
    <w:rsid w:val="00067F76"/>
    <w:rsid w:val="00077AF2"/>
    <w:rsid w:val="00086DD3"/>
    <w:rsid w:val="00092DEA"/>
    <w:rsid w:val="000A35D1"/>
    <w:rsid w:val="000A7A9A"/>
    <w:rsid w:val="000B07BE"/>
    <w:rsid w:val="000B619C"/>
    <w:rsid w:val="000B66D4"/>
    <w:rsid w:val="000E026E"/>
    <w:rsid w:val="000E1398"/>
    <w:rsid w:val="001050DC"/>
    <w:rsid w:val="00105794"/>
    <w:rsid w:val="001136B8"/>
    <w:rsid w:val="00122D34"/>
    <w:rsid w:val="0013058D"/>
    <w:rsid w:val="00131030"/>
    <w:rsid w:val="001335C8"/>
    <w:rsid w:val="00142C66"/>
    <w:rsid w:val="0014338C"/>
    <w:rsid w:val="001448FC"/>
    <w:rsid w:val="00171FC9"/>
    <w:rsid w:val="001774B7"/>
    <w:rsid w:val="00177F2D"/>
    <w:rsid w:val="0018142D"/>
    <w:rsid w:val="001A3706"/>
    <w:rsid w:val="001A539A"/>
    <w:rsid w:val="001A723B"/>
    <w:rsid w:val="001B7200"/>
    <w:rsid w:val="001C3295"/>
    <w:rsid w:val="001C4C64"/>
    <w:rsid w:val="001C556A"/>
    <w:rsid w:val="001D084B"/>
    <w:rsid w:val="001D69F0"/>
    <w:rsid w:val="00201513"/>
    <w:rsid w:val="00201F8E"/>
    <w:rsid w:val="00212AD2"/>
    <w:rsid w:val="00216C64"/>
    <w:rsid w:val="00220B2C"/>
    <w:rsid w:val="0024526E"/>
    <w:rsid w:val="00257DFA"/>
    <w:rsid w:val="00262303"/>
    <w:rsid w:val="00276650"/>
    <w:rsid w:val="002828BE"/>
    <w:rsid w:val="00285C51"/>
    <w:rsid w:val="002A448B"/>
    <w:rsid w:val="002A72B2"/>
    <w:rsid w:val="002B18BA"/>
    <w:rsid w:val="002B2FBC"/>
    <w:rsid w:val="002B3977"/>
    <w:rsid w:val="002B6E55"/>
    <w:rsid w:val="002C21A4"/>
    <w:rsid w:val="002C3434"/>
    <w:rsid w:val="002F1000"/>
    <w:rsid w:val="002F4CE9"/>
    <w:rsid w:val="0031382C"/>
    <w:rsid w:val="003153F3"/>
    <w:rsid w:val="003176E0"/>
    <w:rsid w:val="00324E02"/>
    <w:rsid w:val="003254EF"/>
    <w:rsid w:val="00326505"/>
    <w:rsid w:val="003324D9"/>
    <w:rsid w:val="00332B9E"/>
    <w:rsid w:val="00335632"/>
    <w:rsid w:val="003379B3"/>
    <w:rsid w:val="003414EF"/>
    <w:rsid w:val="00341891"/>
    <w:rsid w:val="00356764"/>
    <w:rsid w:val="00366A90"/>
    <w:rsid w:val="00387563"/>
    <w:rsid w:val="00393347"/>
    <w:rsid w:val="003A3BF5"/>
    <w:rsid w:val="003B53AA"/>
    <w:rsid w:val="003C2F6C"/>
    <w:rsid w:val="003D5F7E"/>
    <w:rsid w:val="003E0E63"/>
    <w:rsid w:val="003E50A8"/>
    <w:rsid w:val="004003B8"/>
    <w:rsid w:val="00411471"/>
    <w:rsid w:val="00420247"/>
    <w:rsid w:val="00422508"/>
    <w:rsid w:val="004244AE"/>
    <w:rsid w:val="00425A9B"/>
    <w:rsid w:val="00451D29"/>
    <w:rsid w:val="00452B3F"/>
    <w:rsid w:val="004553CF"/>
    <w:rsid w:val="0047031F"/>
    <w:rsid w:val="00471BCB"/>
    <w:rsid w:val="004A13AA"/>
    <w:rsid w:val="004B70E7"/>
    <w:rsid w:val="004C209D"/>
    <w:rsid w:val="004C591C"/>
    <w:rsid w:val="005072AD"/>
    <w:rsid w:val="00516245"/>
    <w:rsid w:val="00526C90"/>
    <w:rsid w:val="0053611B"/>
    <w:rsid w:val="00544BC1"/>
    <w:rsid w:val="00546132"/>
    <w:rsid w:val="00562DA3"/>
    <w:rsid w:val="0058203E"/>
    <w:rsid w:val="00592F9D"/>
    <w:rsid w:val="00593A9F"/>
    <w:rsid w:val="005A58E4"/>
    <w:rsid w:val="005B551F"/>
    <w:rsid w:val="005C24C0"/>
    <w:rsid w:val="005C2692"/>
    <w:rsid w:val="005C6FFA"/>
    <w:rsid w:val="005E4FFC"/>
    <w:rsid w:val="00600DAC"/>
    <w:rsid w:val="006065F9"/>
    <w:rsid w:val="0062643F"/>
    <w:rsid w:val="006303C4"/>
    <w:rsid w:val="00657495"/>
    <w:rsid w:val="00667852"/>
    <w:rsid w:val="006831A4"/>
    <w:rsid w:val="00684E0D"/>
    <w:rsid w:val="006941C6"/>
    <w:rsid w:val="006C28D9"/>
    <w:rsid w:val="006E218D"/>
    <w:rsid w:val="0071068A"/>
    <w:rsid w:val="007226BE"/>
    <w:rsid w:val="007248AC"/>
    <w:rsid w:val="00730B04"/>
    <w:rsid w:val="00731E42"/>
    <w:rsid w:val="00743DDA"/>
    <w:rsid w:val="007502CE"/>
    <w:rsid w:val="00751F79"/>
    <w:rsid w:val="00755F52"/>
    <w:rsid w:val="00756582"/>
    <w:rsid w:val="00767520"/>
    <w:rsid w:val="00777F85"/>
    <w:rsid w:val="00780390"/>
    <w:rsid w:val="00782253"/>
    <w:rsid w:val="0079298B"/>
    <w:rsid w:val="007B5422"/>
    <w:rsid w:val="007B58D5"/>
    <w:rsid w:val="007C341C"/>
    <w:rsid w:val="007C562D"/>
    <w:rsid w:val="007E0886"/>
    <w:rsid w:val="007E0964"/>
    <w:rsid w:val="007E22D5"/>
    <w:rsid w:val="007F2EF2"/>
    <w:rsid w:val="007F306C"/>
    <w:rsid w:val="007F7DD5"/>
    <w:rsid w:val="0082249F"/>
    <w:rsid w:val="008352AE"/>
    <w:rsid w:val="00842553"/>
    <w:rsid w:val="00846428"/>
    <w:rsid w:val="008634F8"/>
    <w:rsid w:val="00887483"/>
    <w:rsid w:val="008B118B"/>
    <w:rsid w:val="008D18F8"/>
    <w:rsid w:val="008D5EDD"/>
    <w:rsid w:val="008E05A7"/>
    <w:rsid w:val="008F2C30"/>
    <w:rsid w:val="009007B3"/>
    <w:rsid w:val="00915CB3"/>
    <w:rsid w:val="009224C7"/>
    <w:rsid w:val="00930D42"/>
    <w:rsid w:val="009336ED"/>
    <w:rsid w:val="00933F67"/>
    <w:rsid w:val="00943BEE"/>
    <w:rsid w:val="00976DF2"/>
    <w:rsid w:val="009842DF"/>
    <w:rsid w:val="00987983"/>
    <w:rsid w:val="00996E91"/>
    <w:rsid w:val="009A6611"/>
    <w:rsid w:val="009B27B0"/>
    <w:rsid w:val="009C47E7"/>
    <w:rsid w:val="009C5EB6"/>
    <w:rsid w:val="009D062E"/>
    <w:rsid w:val="009F144B"/>
    <w:rsid w:val="009F41CA"/>
    <w:rsid w:val="009F7530"/>
    <w:rsid w:val="00A006DD"/>
    <w:rsid w:val="00A00B55"/>
    <w:rsid w:val="00A041FC"/>
    <w:rsid w:val="00A04BAC"/>
    <w:rsid w:val="00A11357"/>
    <w:rsid w:val="00A13AF2"/>
    <w:rsid w:val="00A154E4"/>
    <w:rsid w:val="00A75775"/>
    <w:rsid w:val="00A803BF"/>
    <w:rsid w:val="00A82EFF"/>
    <w:rsid w:val="00A832AC"/>
    <w:rsid w:val="00A850B9"/>
    <w:rsid w:val="00A858E6"/>
    <w:rsid w:val="00AB5B0C"/>
    <w:rsid w:val="00AB62ED"/>
    <w:rsid w:val="00AC081A"/>
    <w:rsid w:val="00AF413C"/>
    <w:rsid w:val="00B0253A"/>
    <w:rsid w:val="00B03E39"/>
    <w:rsid w:val="00B04B9D"/>
    <w:rsid w:val="00B07B17"/>
    <w:rsid w:val="00B106A9"/>
    <w:rsid w:val="00B14273"/>
    <w:rsid w:val="00B14DEB"/>
    <w:rsid w:val="00B174EC"/>
    <w:rsid w:val="00B36099"/>
    <w:rsid w:val="00B44462"/>
    <w:rsid w:val="00B456B2"/>
    <w:rsid w:val="00B5601A"/>
    <w:rsid w:val="00B674CB"/>
    <w:rsid w:val="00B819AC"/>
    <w:rsid w:val="00B913C3"/>
    <w:rsid w:val="00B96969"/>
    <w:rsid w:val="00BA4478"/>
    <w:rsid w:val="00BA636A"/>
    <w:rsid w:val="00BA7F98"/>
    <w:rsid w:val="00BC406B"/>
    <w:rsid w:val="00BD4091"/>
    <w:rsid w:val="00BD49E1"/>
    <w:rsid w:val="00BF04CD"/>
    <w:rsid w:val="00C00AAF"/>
    <w:rsid w:val="00C07680"/>
    <w:rsid w:val="00C07F65"/>
    <w:rsid w:val="00C255CC"/>
    <w:rsid w:val="00C31B08"/>
    <w:rsid w:val="00C327CF"/>
    <w:rsid w:val="00C36D25"/>
    <w:rsid w:val="00C37D47"/>
    <w:rsid w:val="00C403CE"/>
    <w:rsid w:val="00C544B2"/>
    <w:rsid w:val="00C559E8"/>
    <w:rsid w:val="00C822AD"/>
    <w:rsid w:val="00C84A94"/>
    <w:rsid w:val="00C90970"/>
    <w:rsid w:val="00CB063F"/>
    <w:rsid w:val="00CC0C63"/>
    <w:rsid w:val="00CE14F7"/>
    <w:rsid w:val="00CF00E8"/>
    <w:rsid w:val="00D07A13"/>
    <w:rsid w:val="00D13FAD"/>
    <w:rsid w:val="00D16F88"/>
    <w:rsid w:val="00D23F24"/>
    <w:rsid w:val="00D244E0"/>
    <w:rsid w:val="00D32B9E"/>
    <w:rsid w:val="00D365BC"/>
    <w:rsid w:val="00D368EB"/>
    <w:rsid w:val="00D370AF"/>
    <w:rsid w:val="00D54DEB"/>
    <w:rsid w:val="00D648B8"/>
    <w:rsid w:val="00D71F9F"/>
    <w:rsid w:val="00D73290"/>
    <w:rsid w:val="00D8633C"/>
    <w:rsid w:val="00DA267D"/>
    <w:rsid w:val="00DA292A"/>
    <w:rsid w:val="00DA4C86"/>
    <w:rsid w:val="00DB1DBA"/>
    <w:rsid w:val="00DB3F06"/>
    <w:rsid w:val="00DC1311"/>
    <w:rsid w:val="00DC7E97"/>
    <w:rsid w:val="00DD7036"/>
    <w:rsid w:val="00DE05A7"/>
    <w:rsid w:val="00DF2348"/>
    <w:rsid w:val="00E105F5"/>
    <w:rsid w:val="00E16AA6"/>
    <w:rsid w:val="00E175C8"/>
    <w:rsid w:val="00E30519"/>
    <w:rsid w:val="00E434DC"/>
    <w:rsid w:val="00E46AAE"/>
    <w:rsid w:val="00E46B64"/>
    <w:rsid w:val="00E755C3"/>
    <w:rsid w:val="00E81CF5"/>
    <w:rsid w:val="00E86251"/>
    <w:rsid w:val="00E9519B"/>
    <w:rsid w:val="00E954C5"/>
    <w:rsid w:val="00EA341B"/>
    <w:rsid w:val="00EB716A"/>
    <w:rsid w:val="00EC2FD7"/>
    <w:rsid w:val="00ED2000"/>
    <w:rsid w:val="00ED7CE6"/>
    <w:rsid w:val="00EE194C"/>
    <w:rsid w:val="00EE6510"/>
    <w:rsid w:val="00EF5C9E"/>
    <w:rsid w:val="00F00424"/>
    <w:rsid w:val="00F129F7"/>
    <w:rsid w:val="00F246F3"/>
    <w:rsid w:val="00F43B3F"/>
    <w:rsid w:val="00F63F47"/>
    <w:rsid w:val="00F70A64"/>
    <w:rsid w:val="00F75E8E"/>
    <w:rsid w:val="00F76E83"/>
    <w:rsid w:val="00F85427"/>
    <w:rsid w:val="00F86B80"/>
    <w:rsid w:val="00FA1EB2"/>
    <w:rsid w:val="00FB05B0"/>
    <w:rsid w:val="00FB55C2"/>
    <w:rsid w:val="00FC0709"/>
    <w:rsid w:val="00FC34EB"/>
    <w:rsid w:val="00FD4EBB"/>
    <w:rsid w:val="00FD5EA7"/>
    <w:rsid w:val="00FE241E"/>
    <w:rsid w:val="00FE68C1"/>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49A607-3106-4A29-9A96-D7566D9F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AAE"/>
    <w:pPr>
      <w:spacing w:after="200" w:line="276" w:lineRule="auto"/>
    </w:pPr>
    <w:rPr>
      <w:rFonts w:ascii="Times New Roman" w:eastAsia="Times New Roman" w:hAnsi="Times New Roman" w:cs="Times New Roman"/>
      <w:lang w:val="en-US"/>
    </w:rPr>
  </w:style>
  <w:style w:type="paragraph" w:styleId="3">
    <w:name w:val="heading 3"/>
    <w:basedOn w:val="a"/>
    <w:next w:val="a"/>
    <w:link w:val="30"/>
    <w:uiPriority w:val="9"/>
    <w:semiHidden/>
    <w:unhideWhenUsed/>
    <w:qFormat/>
    <w:rsid w:val="00216C64"/>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2AE"/>
    <w:pPr>
      <w:ind w:left="720"/>
      <w:contextualSpacing/>
    </w:pPr>
  </w:style>
  <w:style w:type="table" w:styleId="a4">
    <w:name w:val="Table Grid"/>
    <w:basedOn w:val="a1"/>
    <w:rsid w:val="00E95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01F8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01F8E"/>
    <w:rPr>
      <w:rFonts w:ascii="Segoe UI" w:eastAsia="Times New Roman" w:hAnsi="Segoe UI" w:cs="Segoe UI"/>
      <w:sz w:val="18"/>
      <w:szCs w:val="18"/>
      <w:lang w:val="en-US"/>
    </w:rPr>
  </w:style>
  <w:style w:type="paragraph" w:styleId="a7">
    <w:name w:val="header"/>
    <w:basedOn w:val="a"/>
    <w:link w:val="a8"/>
    <w:uiPriority w:val="99"/>
    <w:unhideWhenUsed/>
    <w:rsid w:val="003933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3347"/>
    <w:rPr>
      <w:rFonts w:ascii="Times New Roman" w:eastAsia="Times New Roman" w:hAnsi="Times New Roman" w:cs="Times New Roman"/>
      <w:lang w:val="en-US"/>
    </w:rPr>
  </w:style>
  <w:style w:type="paragraph" w:styleId="a9">
    <w:name w:val="footer"/>
    <w:basedOn w:val="a"/>
    <w:link w:val="aa"/>
    <w:uiPriority w:val="99"/>
    <w:unhideWhenUsed/>
    <w:rsid w:val="003933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347"/>
    <w:rPr>
      <w:rFonts w:ascii="Times New Roman" w:eastAsia="Times New Roman" w:hAnsi="Times New Roman" w:cs="Times New Roman"/>
      <w:lang w:val="en-US"/>
    </w:rPr>
  </w:style>
  <w:style w:type="paragraph" w:customStyle="1" w:styleId="pj">
    <w:name w:val="pj"/>
    <w:basedOn w:val="a"/>
    <w:rsid w:val="001774B7"/>
    <w:pPr>
      <w:spacing w:after="0" w:line="240" w:lineRule="auto"/>
      <w:ind w:firstLine="400"/>
      <w:jc w:val="both"/>
    </w:pPr>
    <w:rPr>
      <w:rFonts w:eastAsiaTheme="minorEastAsia"/>
      <w:color w:val="000000"/>
      <w:sz w:val="24"/>
      <w:szCs w:val="24"/>
      <w:lang w:val="ru-RU" w:eastAsia="ru-RU"/>
    </w:rPr>
  </w:style>
  <w:style w:type="paragraph" w:styleId="ab">
    <w:name w:val="Normal (Web)"/>
    <w:basedOn w:val="a"/>
    <w:uiPriority w:val="99"/>
    <w:unhideWhenUsed/>
    <w:rsid w:val="00F00424"/>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semiHidden/>
    <w:rsid w:val="00216C64"/>
    <w:rPr>
      <w:rFonts w:asciiTheme="majorHAnsi" w:eastAsiaTheme="majorEastAsia" w:hAnsiTheme="majorHAnsi" w:cstheme="majorBidi"/>
      <w:color w:val="1F4D78" w:themeColor="accent1" w:themeShade="7F"/>
      <w:sz w:val="24"/>
      <w:szCs w:val="24"/>
    </w:rPr>
  </w:style>
  <w:style w:type="character" w:styleId="ac">
    <w:name w:val="annotation reference"/>
    <w:basedOn w:val="a0"/>
    <w:uiPriority w:val="99"/>
    <w:semiHidden/>
    <w:unhideWhenUsed/>
    <w:rsid w:val="00B5601A"/>
    <w:rPr>
      <w:sz w:val="16"/>
      <w:szCs w:val="16"/>
    </w:rPr>
  </w:style>
  <w:style w:type="paragraph" w:styleId="ad">
    <w:name w:val="annotation text"/>
    <w:basedOn w:val="a"/>
    <w:link w:val="ae"/>
    <w:uiPriority w:val="99"/>
    <w:semiHidden/>
    <w:unhideWhenUsed/>
    <w:rsid w:val="00B5601A"/>
    <w:pPr>
      <w:spacing w:line="240" w:lineRule="auto"/>
    </w:pPr>
    <w:rPr>
      <w:sz w:val="20"/>
      <w:szCs w:val="20"/>
    </w:rPr>
  </w:style>
  <w:style w:type="character" w:customStyle="1" w:styleId="ae">
    <w:name w:val="Текст примечания Знак"/>
    <w:basedOn w:val="a0"/>
    <w:link w:val="ad"/>
    <w:uiPriority w:val="99"/>
    <w:semiHidden/>
    <w:rsid w:val="00B5601A"/>
    <w:rPr>
      <w:rFonts w:ascii="Times New Roman" w:eastAsia="Times New Roman" w:hAnsi="Times New Roman" w:cs="Times New Roman"/>
      <w:sz w:val="20"/>
      <w:szCs w:val="20"/>
      <w:lang w:val="en-US"/>
    </w:rPr>
  </w:style>
  <w:style w:type="paragraph" w:styleId="af">
    <w:name w:val="annotation subject"/>
    <w:basedOn w:val="ad"/>
    <w:next w:val="ad"/>
    <w:link w:val="af0"/>
    <w:uiPriority w:val="99"/>
    <w:semiHidden/>
    <w:unhideWhenUsed/>
    <w:rsid w:val="00B5601A"/>
    <w:rPr>
      <w:b/>
      <w:bCs/>
    </w:rPr>
  </w:style>
  <w:style w:type="character" w:customStyle="1" w:styleId="af0">
    <w:name w:val="Тема примечания Знак"/>
    <w:basedOn w:val="ae"/>
    <w:link w:val="af"/>
    <w:uiPriority w:val="99"/>
    <w:semiHidden/>
    <w:rsid w:val="00B5601A"/>
    <w:rPr>
      <w:rFonts w:ascii="Times New Roman" w:eastAsia="Times New Roman" w:hAnsi="Times New Roman" w:cs="Times New Roman"/>
      <w:b/>
      <w:bCs/>
      <w:sz w:val="20"/>
      <w:szCs w:val="20"/>
      <w:lang w:val="en-US"/>
    </w:rPr>
  </w:style>
  <w:style w:type="paragraph" w:styleId="af1">
    <w:name w:val="No Spacing"/>
    <w:uiPriority w:val="1"/>
    <w:qFormat/>
    <w:rsid w:val="00201513"/>
    <w:pPr>
      <w:spacing w:after="0" w:line="240" w:lineRule="auto"/>
    </w:pPr>
    <w:rPr>
      <w:kern w:val="2"/>
      <w14:ligatures w14:val="standardContextual"/>
    </w:rPr>
  </w:style>
  <w:style w:type="paragraph" w:styleId="af2">
    <w:name w:val="Revision"/>
    <w:hidden/>
    <w:uiPriority w:val="99"/>
    <w:semiHidden/>
    <w:rsid w:val="00201513"/>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862654">
      <w:bodyDiv w:val="1"/>
      <w:marLeft w:val="0"/>
      <w:marRight w:val="0"/>
      <w:marTop w:val="0"/>
      <w:marBottom w:val="0"/>
      <w:divBdr>
        <w:top w:val="none" w:sz="0" w:space="0" w:color="auto"/>
        <w:left w:val="none" w:sz="0" w:space="0" w:color="auto"/>
        <w:bottom w:val="none" w:sz="0" w:space="0" w:color="auto"/>
        <w:right w:val="none" w:sz="0" w:space="0" w:color="auto"/>
      </w:divBdr>
      <w:divsChild>
        <w:div w:id="1832527879">
          <w:marLeft w:val="0"/>
          <w:marRight w:val="0"/>
          <w:marTop w:val="0"/>
          <w:marBottom w:val="0"/>
          <w:divBdr>
            <w:top w:val="none" w:sz="0" w:space="0" w:color="auto"/>
            <w:left w:val="none" w:sz="0" w:space="0" w:color="auto"/>
            <w:bottom w:val="none" w:sz="0" w:space="0" w:color="auto"/>
            <w:right w:val="none" w:sz="0" w:space="0" w:color="auto"/>
          </w:divBdr>
        </w:div>
      </w:divsChild>
    </w:div>
    <w:div w:id="850141563">
      <w:bodyDiv w:val="1"/>
      <w:marLeft w:val="0"/>
      <w:marRight w:val="0"/>
      <w:marTop w:val="0"/>
      <w:marBottom w:val="0"/>
      <w:divBdr>
        <w:top w:val="none" w:sz="0" w:space="0" w:color="auto"/>
        <w:left w:val="none" w:sz="0" w:space="0" w:color="auto"/>
        <w:bottom w:val="none" w:sz="0" w:space="0" w:color="auto"/>
        <w:right w:val="none" w:sz="0" w:space="0" w:color="auto"/>
      </w:divBdr>
    </w:div>
    <w:div w:id="162669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1B12D-B333-40DC-BC19-83582C683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931</TotalTime>
  <Pages>17</Pages>
  <Words>2574</Words>
  <Characters>14676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Тленова Гульжан Алимхановна</dc:creator>
  <cp:keywords/>
  <dc:description/>
  <cp:lastModifiedBy>Алтаева Наргиз Фархатқызы</cp:lastModifiedBy>
  <cp:revision>28</cp:revision>
  <cp:lastPrinted>2025-09-09T09:52:00Z</cp:lastPrinted>
  <dcterms:created xsi:type="dcterms:W3CDTF">2025-10-07T12:54:00Z</dcterms:created>
  <dcterms:modified xsi:type="dcterms:W3CDTF">2025-10-08T10:30:00Z</dcterms:modified>
</cp:coreProperties>
</file>